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CONCORDATA PREVENTIVA</w:t>
      </w:r>
    </w:p>
    <w:p>
      <w:r>
        <w:rPr>
          <w:i/>
          <w:iCs/>
          <w:color w:val="666666"/>
        </w:rPr>
        <w:t xml:space="preserve">RESTITUIÇÃO EM DINHEIRO</w:t>
      </w:r>
    </w:p>
    <w:p/>
    <w:p>
      <w:r>
        <w:rPr>
          <w:b/>
          <w:bCs/>
        </w:rPr>
        <w:t xml:space="preserve">Julgado em: </w:t>
      </w:r>
      <w:r>
        <w:t xml:space="preserve">23/09/1959</w:t>
      </w:r>
    </w:p>
    <w:p/>
    <w:p>
      <w:r>
        <w:t xml:space="preserve">SÓCIO — SE É CONSIDERADO FALIDO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próprio recorrente reconhece que o requerido não é comerciante sob firma individual, mas, apenas sócio-gerente da Sociedade C. K. Ltda. - Ora, se assim é, decidiu com acerto a sentença agravada ao denegar falência de sócio que não é comerciante individual. - Os sócios de uma sociedade comercial, ainda mesmo os solidários, não são comerciantes, pois não exercem o comércio em nome próprio; participam tão-somente da pessoa jurídica, cuja existência é distinta da de seus componentes. - Logo, não tendo a qualidade de comerciante o sócio de uma sociedade comercial e sendo certo que só incorre em falência o devedor comerciante, é manifesto que tal sócio não pode ser declarado falido, a não ser que seja, também, comerciante individual. E na espécie o agravado não é comerciante sob firma individual. Julgado em 24-09-1959 Revista dos Tribunais. Abril, 1950 - pág. 285. vol. 294 EMENTÁRIO FORENSE. Outubro, 1960. Ano XII. Nº 143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Os sócios de uma sociedade comercial, ainda mesmo os solidários, não são comerciantes, pois não exercem o comércio em nome próprio; participam tão-somente da pessoa jurídica, cuja existência é distinta da de seus componentes.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2026-09-11T00:11:51.948Z</dcterms:created>
  <dcterms:modified xsi:type="dcterms:W3CDTF">2026-09-11T00:11:51.948Z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