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19/03/1952</w:t>
      </w:r>
    </w:p>
    <w:p/>
    <w:p>
      <w:r>
        <w:t xml:space="preserve">MATÉRIA A SER APRECIADA EM AÇÃO 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Nem mesmo podiam ser estendidos os efeitos da falência de D. Vartury B. ao suposto "credor oculto", pois essa extensão somente pode ser pleiteada "mediante processo ordinário", como determina o art. 6º do decreto lei nº 7.661. Ocorre ainda que, como diz o Prof. WALDEMAR FERREIRA, "não é possível cuidar de sócio oculto na falência do comerciante individual, tenha ou não firma inscrita no registro do comércio. Para que exista sócio oculto há que existir sociedade. É óbvio" ("Inst. de Direito Comercial", 5º vol. pág. 87). Julgado em 20-03-1952 Revista dos Tribunais. Julho, 1952 - pág. 306. vol. 201 EMENTÁRIO FORENSE. Janeiro, 1953. Ano V. Nº 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e aplicação do art. 6º do Decreto-lei nº 7.661, de 21 de junho de 1945. - A extensão dos efeitos da falência ao sócio oculto só pode ser pleiteada mediante processo ordinário, para apuração de sua responsabilidade.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2026-09-10T22:16:00.055Z</dcterms:created>
  <dcterms:modified xsi:type="dcterms:W3CDTF">2026-09-10T22:16:00.055Z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