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19/03/1952</w:t>
      </w:r>
    </w:p>
    <w:p/>
    <w:p>
      <w:r>
        <w:t xml:space="preserve">MATÉRIA A SER APRECIADA EM AÇÃO 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Nem mesmo podiam ser estendidos os efeitos da falência de D. Vartury B. ao suposto "credor oculto", pois essa extensão somente pode ser pleiteada "mediante processo ordinário", como determina o art. 6º do decreto lei nº 7.661. Ocorre ainda que, como diz o Prof. WALDEMAR FERREIRA, "não é possível cuidar de sócio oculto na falência do comerciante individual, tenha ou não firma inscrita no registro do comércio. Para que exista sócio oculto há que existir sociedade. É óbvio" ("Inst. de Direito Comercial", 5º vol. pág. 87). Julgado em 20-03-1952 Revista dos Tribunais. Julho, 1952 - pág. 306. vol. 201 EMENTÁRIO FORENSE. Janeiro, 1953. Ano V. Nº 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e aplicação do art. 6º do Decreto-lei nº 7.661, de 21 de junho de 1945. - A extensão dos efeitos da falência ao sócio oculto só pode ser pleiteada mediante processo ordinário, para apuração de sua responsabilidade.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2026-10-26T03:22:48.306Z</dcterms:created>
  <dcterms:modified xsi:type="dcterms:W3CDTF">2026-10-26T03:22:48.306Z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