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RESTITUIÇÃO EM DINHEIRO</w:t>
      </w:r>
    </w:p>
    <w:p/>
    <w:p>
      <w:r>
        <w:rPr>
          <w:b/>
          <w:bCs/>
        </w:rPr>
        <w:t xml:space="preserve">Julgado em: </w:t>
      </w:r>
      <w:r>
        <w:t xml:space="preserve">12/11/1956</w:t>
      </w:r>
    </w:p>
    <w:p/>
    <w:p>
      <w:r>
        <w:t xml:space="preserve">EM QUE SE DISTINGUE DA DESTITUIÇÃO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Recorre o agravante de despacho que o destituiu das funções de comissário da concordata, alegando não ter incorrido em nenhuma das causas de destituição, prevista nos arts. 66 e 171, combinados, do decreto-lei nº 7.661, de 21 de junho de 1945. E o próprio Juízo, no seu despacho de sustentação, é o primeiro a afirmar que era a substituição, e não e destituição, a medida que no caso se impunha, ante os motivos que lhe tinham sido expostos pelo Dr. Curador-Fiscal e alguns credores. - Se era essa, porém, a medida aconselhável, não se vê como tenha podido aquele mesmo Juízo destituir o agravante de suas funções, pois a este não podia ser indiferente ver-se destituído delas ou apenas substituído por outrem no seu exercício. Substituição não é destituição. Dá-se a primeira quando nomeada para o cargo pessoa que legalmente o não possa exercer e então a peçam os interessados, não representando a medida penalidade (art. 65 da lei). Dá-se a segunda nas hipóteses taxativas do art. 66 da Lei de Falências, significando para o atingido verdadeira pena, com o efeito, entre outros de não poder exercer igual função noutra falência, ou concordata, nos têrmos do art. 60, parág. 3º, nº III, combinado com o art. 61. - Não havendo, pois, como se possam confundir substituição e destituição, não há justificar despacho que destituiu, invocando-se razões que apenas permitiriam substituir. Daí o provimento do recurso, para o efeito e com a ressalva constante deste acórdão. Julgado em 13-11-1956 Revista dos Tribunais. Agosto, 1957 - pág. 350. vol. 262 EMENTÁRIO FORENSE. Fevereiro, 1958. Ano X. Nº 111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60, 65, 66, 161, parág. 1º, nº IV, e 171 da Lei de Falências. - Não havendo confundir substituição com destituição de síndico (ou comissário) não há como se possa justificar despacho que o destituiu, invocando motivos que apenas permitiriam substituí-lo.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2026-10-26T02:06:18.806Z</dcterms:created>
  <dcterms:modified xsi:type="dcterms:W3CDTF">2026-10-26T02:06:18.806Z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