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Julgado em: </w:t>
      </w:r>
      <w:r>
        <w:t xml:space="preserve">25/05/1950</w:t>
      </w:r>
    </w:p>
    <w:p/>
    <w:p>
      <w:r>
        <w:t xml:space="preserve">FALTA DE REGISTRO — FATO QUE NÃO AUTORIZA A MASSA A INCORPORÁ-LOS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quem adquire direito sobre uma coisa, pouco importa que outro, anteriormente, tenha feito contrato incompatível com aquela aquisição, se tal contrato não consta do registro, pois a falta desse registro não lhe poderá ser oposto. Isso não significa porém, de forma alguma, que terceiro, sem direito algum, possa invocar a ausência do registro, para disputar contra quem adquiriu direito sobre a coisa. Desde que há prova segura do depósito dos títulos com o falido, a arrecadação não investe a massa falida de direito sobre a coisa, só porque faltava ao contrato o registro. Julgado em 26-05-1950 Revista Forense. Novembro-Dezembro, 1952 - pág. 262. vol. 144 EMENTÁRIO FORENSE. Abril, 1953. Ano V. Nº 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registro da caução de títulos depositados na sociedade falida não autoriza a massa a incorporá-los. A não existência do registro do contrato obsta a sua oposição a quem venha a adquirir direito sobre a coisa, mas não exclui os seus efeitos, pelo simples fato de haver ela sido arrecadada pela massa falida.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2026-10-26T04:14:07.200Z</dcterms:created>
  <dcterms:modified xsi:type="dcterms:W3CDTF">2026-10-26T04:14:07.200Z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