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25/05/1950</w:t>
      </w:r>
    </w:p>
    <w:p/>
    <w:p>
      <w:r>
        <w:t xml:space="preserve">FALTA DE REGISTRO — FATO QUE NÃO AUTORIZA A MASSA A INCORPORÁ-LOS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quem adquire direito sobre uma coisa, pouco importa que outro, anteriormente, tenha feito contrato incompatível com aquela aquisição, se tal contrato não consta do registro, pois a falta desse registro não lhe poderá ser oposto. Isso não significa porém, de forma alguma, que terceiro, sem direito algum, possa invocar a ausência do registro, para disputar contra quem adquiriu direito sobre a coisa. Desde que há prova segura do depósito dos títulos com o falido, a arrecadação não investe a massa falida de direito sobre a coisa, só porque faltava ao contrato o registro. Julgado em 26-05-1950 Revista Forense. Novembro-Dezembro, 1952 - pág. 262. vol. 144 EMENTÁRIO FORENSE. Abril, 1953. Ano V. Nº 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registro da caução de títulos depositados na sociedade falida não autoriza a massa a incorporá-los. A não existência do registro do contrato obsta a sua oposição a quem venha a adquirir direito sobre a coisa, mas não exclui os seus efeitos, pelo simples fato de haver ela sido arrecadada pela massa falida.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2026-06-17T14:05:09.623Z</dcterms:created>
  <dcterms:modified xsi:type="dcterms:W3CDTF">2026-06-17T14:05:09.623Z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