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AÇÃO ENTRE EMPRESA E SINDICATO</w:t>
      </w:r>
    </w:p>
    <w:p/>
    <w:p/>
    <w:p>
      <w:r>
        <w:t xml:space="preserve">COMARCA DO DOMICÍLIO DO DEVEDOR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Nesse aspecto, cai como uma luva a lição de JOSÉ SILVA PACHECO, bem lembrado pelo zeloso Promotor de Justiça, segundo o qual "nas ações executivas propostas pela União, Estados e pelos Municípios, a competência se determina, primeiro, pelo domicílio do réu". (TRATADO DAS EXECUÇÕES - EXECUÇÃO FISCAL - Ed. Saraiva 1976 - pág. 65). Ac. de 06-05-1992 Arquivo do EMFOR - TJ/2.286 EMFOR 529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execução fiscal será proposta no foro do domicílio do réu se não o tiver, no de sua residência ou do lugar onde for encontrado.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2026-10-16T17:18:03.303Z</dcterms:created>
  <dcterms:modified xsi:type="dcterms:W3CDTF">2026-10-16T17:18:03.303Z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