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 89.179</w:t>
      </w:r>
    </w:p>
    <w:p>
      <w:r>
        <w:rPr>
          <w:b/>
          <w:bCs/>
        </w:rPr>
        <w:t xml:space="preserve">Relator: </w:t>
      </w:r>
      <w:r>
        <w:t xml:space="preserve">ONEMÍSIO NUNES DA ROCHA</w:t>
      </w:r>
    </w:p>
    <w:p/>
    <w:p>
      <w:r>
        <w:t xml:space="preserve">SE PODE AQUELA SER INTENTADA NA PENDÊNCIA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primeira preliminar, aduzem os recorrentes que o documento dá notícia de que o imóvel reivindicando está sendo objeto de uma ação possessória. E, de acordo com o art. 923 do CPC &lt;&lt; é defeso, na pendência do processo possessório, assim ao autor como o réu, intentar ação de reconhecimento do domínio &gt;&gt;. - Embora não seja pacífica a extensão do preceito, a tendência da doutrina e da jurisprudência é a de amenizar o rigor do dispositivo aplicando-se apenas quando, a possessória tem como fundamento a alegação de domínio (Cf. RE 89.179 - PA, &lt;&lt;LEX-JSTF&gt;&gt;, vol. 11, pág. 187). - PONTES DE MIRANDA é ainda mais liberal, quando afirma que o proprietário, na pendência da possessória, não pode ficar privado de exercitar a ação reivindicatória (Cf. &lt;&lt;Com. CPC&gt;&gt;, 13/199 ed.FORENSE, 1977). Ac. de 25-11-1986 Revista Trimestral de Jurisprudência, Agosto, 1987 Vol. 121 - Pág. 738. NO SENTIDO CONTRÁRIO: Apelação nº 10.280, Tr. Just. M. Grosso - 2ª C, Relator: Desembargador ONEMÍSIO NUNES DA ROCHA, ac. de 17-11-81, "IN" &lt;&lt;EMENTÁRIO FORENSE&gt;&gt;, Nº 430.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&lt;&lt;... o proprietário, na pendência da possessória, não pode ficar privado de exercitar a ação reivindicatória&gt;&gt;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2026-07-27T23:39:43.156Z</dcterms:created>
  <dcterms:modified xsi:type="dcterms:W3CDTF">2026-07-27T23:39:43.156Z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