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Relator: </w:t>
      </w:r>
      <w:r>
        <w:t xml:space="preserve">CELSO DE MELLO</w:t>
      </w:r>
    </w:p>
    <w:p/>
    <w:p>
      <w:r>
        <w:t xml:space="preserve">DECISÃO NESTE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não existe no v. arresto embargado a apregoada "omissão", tendo em vista a clareza dos seus termos, compondo, isto sim, um todo sistemático e coerente, adstrito ao gizamento legal medular, sem apresentar eiva à matéria infraconstitucional ou ofender à Carta Política Federal. - Em verdade, as provas existentes nos autos receberam a respectiva valoração, ressaltando-se, ainda, que os argumentos adunados, pela embargante, são desinfluentes para o fim colimado. - A embargante busca, outrossim, o reexame do decidido por este Juízo "ad quem", o que conspira contra a índole dos embargos de declaração. - A leitura dos embargos ofertados demonstra claramente que a embargante quer obter um novo julgamento da causa, sob o falso pretexto de que teria havido omissão do Órgão Julgador em examinar tema sobre o qual estaria obrigado a se pronunciar, o que, no caso em tela, efetivamente não ocorreu. - A essa altura, significaria imprimir ao recurso ora examinado amplitude que a lei não lhe atribui. O eventual efeito modificativo dos embargos de declaração pressupõe necessariamente a ocorrência , no julgamento embargado, de algum dos defeitos típicos enumerados na lei. Fora daí, seria convertê-los em embargos infringentes, ao arrepio da sistemática legal. - A propósit o do "thema", encontramos as decisões do egrégio Superior Tribunal de Justiça - 6ª Turma, R. Esp. nº 287.853-RJ e 231.083-RJ, sendo Relator o Ministro Vicente Leal, "verbis": "Os embargos declaratórios, instrumento processual destinado a expungir do julgamento obscuridades ou contradições, bem como para suprir omissão sobre tema de pronunciamento obrigatório, não se prestam para responder quesitos e discorrer sobre todos os temas agitados na peça recursal, invocados sob o rótulo do prequestionamento explícito. Recurso especial não conhecido." - E, ainda, "Segundo a moldura do cânon inscrito no art. 535, do CPC, os embargos de declaração consubstanciam instrumento processual destinado a expungir do julgamento obscuridade ou contradições, ou ainda para suprir omissão sobre tema cujo pronunciamento se imponha pelo Tribunal, podendo a eles ser conferido efeito infringente ou modificativo, desde que para suprir os citados defeitos, o que não se vislumbra na espécie. Se o acórdão embargado debateu e decidiu toda a matéria deduzida no apelo nobre, não existem os requisitos que autorizam o acolhimento dos embargos." - Todavia, à guisa de afastar eventual omissão no v. acórdão, fica esclarecido que: "Não está obrigado o Magistrado a julgar a questão posta a seu exame de acordo como o pleiteado pelas partes, mas sim, com o seu livre convencimento (art. 131, do CPC), utilizando-se dos fatos, provas, jurisprudência, aspectos pertinentes ao temas e da legislação que entender aplicável ao caso concreto." (Superior Tribunal de Justiça - 1ª Turma - E. D. Resp. nº 194.009/MGm, Relator Ministro José Delgado). - Por outro lado, a jurisprudência do Egrégio Supremo Tribunal Federal, firmou-se, de modo uniforme, no sentido de que: "Os embargos de declaração destinam-se, precipuamente, a desfazer obscuridades, a afastar contradições e a suprir omissões que eventualmente se registrem no acórdão proferido pelo Tr ibunal. Essa modalidade recursal só permite o reexame do acórdão embargado para o específico efeito de viabilizar um pronuniamento jurisdicional de caráter integrativo-retificador, que afastando as situações de obscuridade, omissão ou contradição, omplemente e esclareça o conteúdo da decisão. Relevam-se incabíveis os embargos de declaração - adverte a jurisprudência do Supremo Tribunal Federal (RTJ 132/1020 e RTJ 158/993) -, quando inexistentes os vícios que caracterizam os pressupostos legais de embargabilidade (CPC - art. 535), vem esse recurso, com desvio de sua específica função jurídico-processual, a ser utilizado com a indevida finalidade de instaurar uma nova discussão sobre a controvérsia jurídica já apreciada pelo Tribunal. Precedentes." (Rec. Extraord. Nº 177.928 - DF - Relator Ministro CELSO DE MELLO, in RTJ164/793-4). - Na verdade, o escopo da jurisdição é compor a lide e não a discussão exaustiva do derredor de todos os pontos e dos padrões legais enunciados pelos litigantes. - Incumbe ao Juiz estabelecer as normas jurídicas que incidem sobre os fatos arvorados no caso concreto ("iura novit curia" e da "mihi factum dabo tibi jus").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sistema do Código de Processo Civil são especificamente destinados a reparação de gravame, resultante de obscuridade, omissão ou contradição, não determinadas por erro material manifesto. - Pronunciamento integrativo-retificador, não se inovando além dos limites da simples declaração, para, indevidamente, se corrigirem, eventuais, "errores in iudicando" ou "in procedendo". - Não há no v. acórdão omissão que deva ser suprida, mediante embargos de declaração, se o acórdão adotou, fundamento suficiente em si mesmo e, por desnecessário, deixou de manifestar-se sobre questões assim irrelevantes.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2026-07-28T02:14:31.124Z</dcterms:created>
  <dcterms:modified xsi:type="dcterms:W3CDTF">2026-07-28T02:14:31.124Z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