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CORREÇÃO MONETÁRIA</w:t>
      </w:r>
    </w:p>
    <w:p>
      <w:r>
        <w:rPr>
          <w:i/>
          <w:iCs/>
          <w:color w:val="666666"/>
        </w:rPr>
        <w:t xml:space="preserve">CAUSAS PENDENTES DE JULGAMENTO</w:t>
      </w:r>
    </w:p>
    <w:p/>
    <w:p>
      <w:r>
        <w:rPr>
          <w:b/>
          <w:bCs/>
        </w:rPr>
        <w:t xml:space="preserve">Julgado em: </w:t>
      </w:r>
      <w:r>
        <w:t xml:space="preserve">05/12/1977</w:t>
      </w:r>
    </w:p>
    <w:p/>
    <w:p>
      <w:r>
        <w:t xml:space="preserve">MÁQUINAS DESTINADAS À LOCAÇÃO — INCIDÊNCIA - SE É LEGÍTIMA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recorrido destoa da jurisprudência a que veio a se firmar no Supremo Tribunal Federal, no sentido da não incidência do ICM, sob e a importação de bens de capital (RR.EE ns. 73.181, 70.398, 69.836 e 86.091). - Na espécie, são máquinas para fazer café, destinadas a locação e não a revenda. Tais máquinas passam a integrar o ativo fixo da firma... - Assim sendo, o arresto recorrido (...), discrepa da jurisprudência prevalente. Pelo que conheço do recurso e lhe dou provimento, para restabelecer a sentença que julgou procedente a ação (...). Julgado em 06-12-1977 Revista Trimestral de Jurisprudência. Julho: 1978 - Vol. 85 - Pág. 332 EMENTÁRIO FORENSE. Fevereiro, 1979. Ano XXXI. Nº 363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bens importados, destinados a locação, não incide o Imposto sobre Circulação de Mercadorias.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2026-07-28T00:24:40.524Z</dcterms:created>
  <dcterms:modified xsi:type="dcterms:W3CDTF">2026-07-28T00:24:40.524Z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