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06/12/1976</w:t>
      </w:r>
    </w:p>
    <w:p/>
    <w:p>
      <w:r>
        <w:t xml:space="preserve">SE É ADMISSÍVEL POR OUTRO MEIO QUE NÃO A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que, no caso não ocorre a exigência de lei prevista no art. 97, § 1º, do CTN. - O que aí se dispõe é que depende de lei a modificação da base de cálculo de tributo, que importe torná-lo mais oneroso. - A respeito, observa o eminente Mestre BALEEIRO: (Direito Tributário Brasileiro, 8ª edição, p. 370): "Praticamente, um aumento de alíquota pode ser dissimulado em modificação da base de cálculo. Elevando-se esta, a alíquota inevitavelmente produzirá quantia maior tornando-a mais alta em relação à base anterior. Se, p. ex., na base de cálculo deve ser excluída certa parcela, um ato do Executivo não pode inclui-la, porque isso importará em tributo maior do que o autorizado em lei. Mas isso não impede a revisão do lançamento desatualizado pela desvalorização da moeda ou outra razão relevante, como, p. ex., o acréscimo de acessão ou benfeitoria a um imóvel (art. 97, § 2º do STN)." - Se a base de cálculo do IPTU é o valor venal do imóvel, a atualização desse valor tendo à vista não somente o fator inflacionário mas também o acréscimo de valorização dele independente não constitui "modificação" na base de cálculo, que continua a mesma: o valor venal do imóvel. - E é, aliás, o que diz o art. 97, § 2º: "não constitui majoração do tributo, dependente de lei, a atualização do valor monetário da respectiva base de cálculo." - "Atualização do valor monetário" não significa somente aplicação de índices da correção monetária a valor anterior: significa tornar atual o valor, apurar qual o valor atual, e não tenho como excluída, nesse caso, estimativa técnica. - Não conheço do recurso. Julgado em 07-12-1976 DO VOTO VENCIDO DO MINISTRO CUNHA PEIXOTO (Relator) - A Emenda Constitucional nº 1/69 (art. 153, § 29) guarda o princípio de que, na preservação dos direitos e garantias individuais nenhum tributo será cobrado, em cada exercício, sem que a lei que o houver estabelecido ou aumentado esteja em vigor. - Como se verifica, a Constituição não se reporta apenas à criação do imposto, aludindo também ao seu aumento. - Consequentemente, lei que crie ou aumente imposto deve estar em vigor antes do início do exercício financeiro, no qual o tributo deve ser sobrado. - Firmando-se neste princípio, o Código Tributário Nacional, em seu art. 97, estabeleceu: "Art. 97 - Somente a lei pode estabelecer: ....................... II - a majoração de tributos ou sua redução ressalvado o disposto nos arts. 21, 26, 39, 57 e 85." - O Código Tributário, pois, não admite, sem lei, a majoração do tributo, quer por forma direta, seja por via indireta. Daí haver, no § 1º do mesmo art. 97, estabelecido que, "Equipara-se à majoração de tributo a modificação de sua base de cálculo, que importe em torná-lo mais oneroso." - É que, com o aumento ou diminuição da base de cálculo, haverá uma variação para mais ou para menos da alíquota. - Para não deixar o imposto territorial urbano estático, ante a inflação existente e reconhecida no Brasil, e para que alíquota não diminuísse em função desse fenômeno, não considerou o mesmo Código como majoração do tributo a atualização do valor monetário da respectiva base de cálculo." - Ora, é regra de hermenêutica não poderem os dispositivos de uma lei serem interpretados isoladamente. Daí a exegese do inciso II do art. 97 do Código Tributário Nacional dever ser feita em conjunto com seus §§ 1º e 2º. - Por isto, se o § 1º é expresso no sentido de equiparar a modificação da base de cálculo à majoração do tributo, e se o § 2º não considera majoração do imposto a atualização do valor monetário da base de cálculo, é evidente pela interpretação conjunta desses dois dispositivos, que o último deles se referiu apenas à correção monetária. Tudo o mais o legislador considerou como modificação de base de cálculo capaz de ser considerada como aumento do tributo, e portanto, dependente de lei expressa, autorizando-o. - Interpretação diversa daria oportunidade a que, através das mais variadas dissimulações, se burlasse a proibição legal. - Ora, é princípio de direito que não se pode conseguir por linhas indiretas, travessas, o que não é lícito fazer-se por meio direto. - Assim, admitir a modificação da base de cálculo por outro meio que não a correção monetária, seria burlar o § 29 do art. 153 da Constituição Federal, pois se conseguiria, sem lei expressa, a majoração anual dos tributos. - Nem se diga ser possível a alteração mediante nova avaliação porque, nos termos do art. 33 do Código Tributário Nacional, a base de cálculo do impos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reavaliação do imóvel não se confunde com alteração de base de cálculo do tributo mas é atualização do valor de tal base.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2026-10-26T03:46:30.152Z</dcterms:created>
  <dcterms:modified xsi:type="dcterms:W3CDTF">2026-10-26T03:46:30.152Z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