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RE 65.156</w:t>
      </w:r>
    </w:p>
    <w:p>
      <w:r>
        <w:rPr>
          <w:b/>
          <w:bCs/>
        </w:rPr>
        <w:t xml:space="preserve">Julgado em: </w:t>
      </w:r>
      <w:r>
        <w:t xml:space="preserve">22/09/1977</w:t>
      </w:r>
    </w:p>
    <w:p/>
    <w:p>
      <w:r>
        <w:t xml:space="preserve">PRINCÍPIO DA SUCUMBÊNCIA — SE É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recorrido, para determinar a condenação em honorários da advogado, não se baseou em modificação decorrente do atual Código de Processo Civil, mas, sim, em consideração que poderia ser feita em face do Código anterior. - Por esse motivo, considero demonstrado o dissídio de jurisprudência, razão por que conheço do recurso. - E, dela conhecendo, dou-lhe provimento para restabelecer a sentença de primeiro grau. - Entendo que, como sucede com relação a honorários de advogado em mandado de segurança, deve prevalecer, em face do atual Código de Processo Civil, a tese, já sufragada por acórdãos de ambas as Turmas desta Corte (RE nº 65.156, Primeira Turma, relator o Sr. Ministro AMARAL SANTOS, in R.T.J. 5/601 e segs.; e RE nº 72.397, Segunda Turma, relator o Sr. Ministro THOMPSON FLORES), de que, não se tratando de institutos como os embargos de terceiro ou o pedido de restituição, o sistema da lei especial que disciplina a falência é contrário ao regime da sucumbência (Decreto-lei nº 7.661, de 1945, art. 23, parágrafo único, II, e 208, § 2º). - Essa situação não foi alterada pela adaptação da Lei de Falências ao atual C. Pr. Civ. feita pelo art. 5º da Lei nº 6.014/1973. Julgado em 23-09-1977 Revista Trimestral de Jurisprudência. Maio, 1978 - Vol. 84 - Pág. 693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tratando de instituto como o de embargos de terceiro ou o pedido de restituição, o sistema da lei especial que disciplina a falência é contrário ao regime da sucumbência (artigos 23, parágrafo único, II, e 208, § 2º, do Decreto-lei nº 7.661/1945). Esse entendimento prevalece em face do atual Código de Processo Civil, até porque, com relação a ele, nada foi alterado pela adaptação da Lei de Falência ao novo sistema processual feita pelo artigo 5º da Lei nº 6.014/1973.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2026-06-17T14:13:46.195Z</dcterms:created>
  <dcterms:modified xsi:type="dcterms:W3CDTF">2026-06-17T14:13:46.195Z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