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Recurso: </w:t>
      </w:r>
      <w:r>
        <w:t xml:space="preserve">RE 65.156</w:t>
      </w:r>
    </w:p>
    <w:p>
      <w:r>
        <w:rPr>
          <w:b/>
          <w:bCs/>
        </w:rPr>
        <w:t xml:space="preserve">Julgado em: </w:t>
      </w:r>
      <w:r>
        <w:t xml:space="preserve">22/09/1977</w:t>
      </w:r>
    </w:p>
    <w:p/>
    <w:p>
      <w:r>
        <w:t xml:space="preserve">PRINCÍPIO DA SUCUMBÊNCIA — SE É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recorrido, para determinar a condenação em honorários da advogado, não se baseou em modificação decorrente do atual Código de Processo Civil, mas, sim, em consideração que poderia ser feita em face do Código anterior. - Por esse motivo, considero demonstrado o dissídio de jurisprudência, razão por que conheço do recurso. - E, dela conhecendo, dou-lhe provimento para restabelecer a sentença de primeiro grau. - Entendo que, como sucede com relação a honorários de advogado em mandado de segurança, deve prevalecer, em face do atual Código de Processo Civil, a tese, já sufragada por acórdãos de ambas as Turmas desta Corte (RE nº 65.156, Primeira Turma, relator o Sr. Ministro AMARAL SANTOS, in R.T.J. 5/601 e segs.; e RE nº 72.397, Segunda Turma, relator o Sr. Ministro THOMPSON FLORES), de que, não se tratando de institutos como os embargos de terceiro ou o pedido de restituição, o sistema da lei especial que disciplina a falência é contrário ao regime da sucumbência (Decreto-lei nº 7.661, de 1945, art. 23, parágrafo único, II, e 208, § 2º). - Essa situação não foi alterada pela adaptação da Lei de Falências ao atual C. Pr. Civ. feita pelo art. 5º da Lei nº 6.014/1973. Julgado em 23-09-1977 Revista Trimestral de Jurisprudência. Maio, 1978 - Vol. 84 - Pág. 693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tratando de instituto como o de embargos de terceiro ou o pedido de restituição, o sistema da lei especial que disciplina a falência é contrário ao regime da sucumbência (artigos 23, parágrafo único, II, e 208, § 2º, do Decreto-lei nº 7.661/1945). Esse entendimento prevalece em face do atual Código de Processo Civil, até porque, com relação a ele, nada foi alterado pela adaptação da Lei de Falência ao novo sistema processual feita pelo artigo 5º da Lei nº 6.014/1973.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2026-09-11T01:31:20.031Z</dcterms:created>
  <dcterms:modified xsi:type="dcterms:W3CDTF">2026-09-11T01:31:20.031Z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