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PENHORA DE BENS DE SÓCIO</w:t>
      </w:r>
    </w:p>
    <w:p/>
    <w:p>
      <w:r>
        <w:rPr>
          <w:b/>
          <w:bCs/>
        </w:rPr>
        <w:t xml:space="preserve">Julgado em: </w:t>
      </w:r>
      <w:r>
        <w:t xml:space="preserve">08/08/1977</w:t>
      </w:r>
    </w:p>
    <w:p/>
    <w:p>
      <w:r>
        <w:t xml:space="preserve">PRAZO PARA A PROPOSITURA DESTA — QUANDO SE INICIA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Dão provimento à apelação, em parte, a fim de julgar cessada a eficácia da medida cautelar deferida em liminar, anulada a sentença apelada, que a julgou procedente. - Acolhem, neste ponto, o bem lançado parecer do Procurador da Justiça, Dr. CANDIDO DINAMARCO, que se estriba no magistério de THEODORO JUNIOR ("Processo Cautelar" nº 107, pág. 143). O prazo de 30 dias para a parte propor a ação, com efeito, como expresso no art. 806 do CPC, há de ser contado da data da efetivação da medida cautelar. Se a medida cautelar foi, como no caso em exame, concedida "in limine" e, desde quando se efetivou, a partir de então correra o prazo para a propositura da ação principal, sob pena de cessação de sua eficácia (art. 808, nº I, do CPC). Essa é a orientação iterativamente sufragada nesta Corte ("Julgados do TACivSP", Lex, 34/58, 35/162 e 215, 37/210, 39/28 e 41/97). A medida cautelar, liminarmente deferida foi efetivada, no caso em tela, em 11-05-1976 (...), enquanto que a ação principal somente foi ajuizada em 23-03-1977 (...). - Já cessada, automaticamente, a eficácia da medida cautelar, quando prolatada a sentença apelada, em 07-02-1977 e esta foi indevidamente proferida, impondo-se a sua anulação. - Em face do que dispõem os arts. 20, § 3º, e 811, nº II, do CPC, a requerente, além das custas processuais, arcará com o pagamento dos honorários advocatícios do apelante ..., já que não se deu valor à causa. Julgado em 09-08-1977 Revista dos Tribunais. Dezembro, 1977 - Vol. 506 - Pág. 132 EMENTÁRIO FORENSE. Janeiro, 1979. Ano XXXI. Nº 362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artigo 808, nº I, do Código de Processo Civil. - Se a medida cautelar foi concedida "in limine", a partir da sua efetivação corre o prazo para a propositura da ação principal, sob pena de cessação de sua eficácia.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2026-09-11T00:27:23.177Z</dcterms:created>
  <dcterms:modified xsi:type="dcterms:W3CDTF">2026-09-11T00:27:23.177Z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