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Recurso: </w:t>
      </w:r>
      <w:r>
        <w:t xml:space="preserve">recurso extraordinário 42.649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09/05/1978</w:t>
      </w:r>
    </w:p>
    <w:p/>
    <w:p>
      <w:r>
        <w:t xml:space="preserve">NÃO PAGAMENTO DA TAXA — CORTE - SE É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mandado de segurança impetrado contra o corte do fornecimento de água para a residência do impetrante, por estar em débito. Sustenta o impetrante, que um serviço público fundamental, instituído para acorrer a uma necessidade vital da sociedade, não pode ter sua prestação suspensa por motivos menores, como é o caso do seu não pagamento por alguns usuários. - A sentença..., cujo relatório é adotado, denegou a segurança. - Confirma-se a sentença denegatória pelos seus próprios fundamentos. Aliás, a matéria já foi examinada pelo Plenário do STF, no recurso extraordinário nº 42.649 - PR. Nesse caso, o Tribunal de Justiça do Paraná decidira ser inconstitucional disposição de lei que autorizava a Prefeitura de Ponta Grossa a suspender o fornecimento de água canalizada, por falta de pagamento da respectiva taxa, mas o STF deu provimento ao recurso, decidindo não ser inconstitucional o dispositivo questionado. - .......................................... - Negado provimento ao recurso. Julgado em 10-05-1978 Revista dos Tribunais. Agosto, 1978. Vol. 514. Pág. 136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inconstitucional lei que determina o corte de água para residência de consumidor em débito.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2026-10-26T02:39:47.688Z</dcterms:created>
  <dcterms:modified xsi:type="dcterms:W3CDTF">2026-10-26T02:39:47.688Z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