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18/04/1978</w:t>
      </w:r>
    </w:p>
    <w:p/>
    <w:p>
      <w:r>
        <w:t xml:space="preserve">QUAL A QUE PODE SER POR ELE LIVREMENTE EXERCIDA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poderá negar que a atual Constituição, já emendada no § 22 do art. 153, quando trata "Dos Direitos e Garantias Individuais", ao afirmar o direito de propriedade, ressalvou "o caso de desapropriação por necessidade ou utilidade pública ou por interesse social, mediante prévia e justa indenização em dinheiro, ressalvado o disposto no art. 161..." - Quando trata "Da Ordem Econômica e Social", após determinar o alcance deste, nos nsº I a IV do art. 160, fixa o poder da União de desapropriar a propriedade rural, mediante pagamento de justa indenização, em títulos especiais da dívida pública etc., no art. seguinte. - Não distinguiu o constituinte duas formas de desapropriação, uma geral, restrita a imóveis urbanos, e outra particular, da zona rural, reservada unicamente à União ou a quem esta delegar poderes. - Determinou-se primeiramente a possibilidade de desapropriação no § 22 do art. 153, de qualquer imóvel, situado onde quer que esteja e seja de utilidade pública, por qualquer dos Poderes, federal, estadual ou municipal, sem restrição. - A desapropriação contemplada pelo art. 161 terá lugar quando algum dos princípios da ordem econômica e social for desobedecido, principalmente a função social da propriedade e a repressão ao abuso econômico. - O motivo de tal ato limita a desapropriação à competência exclusiva da União, circunscrita às áreas prioritárias e só recaindo em propriedades rurais cuja forma de exploração contrária tais princípios e o que for estabelecido em lei. - A ressalva do art. 161, feita pelo § 22 do art. 153, diz respeito apenas à forma de pagamento da desapropriação a ser feita no segundo caso, com títulos especiais da dúvida pública, com cláusula de exata correção monetária e demais condiçõe s. - Enquanto a desapropriação prevista pelo § 22 do art. 153 é normal, de uso geral, a expropriação resultante do art. 161, refere-se a uma situação diversa, especial, de intervenção da União, para tornar a propriedade rendosa, valiosa para a comunidade, retornando à sua verdadeira função, evitando os latifúndios inoperantes, estéreis, sem qualquer valia. - Impunha-se a restrição feita pela própria Constituição, reservando somente à União tal desapropriação, assim mesmo em zonas declaradas prioritárias e em propriedades rurais cuja forma de exploração contrariasse a ordem econômica e social. - Não se estendeu tal desapropriação à zona rural, como única possível, tendo sua razão somente na ordem pública e dentro de certas circunstâncias especialíssimas. - Assim a desapropriação comum, geral, pode ser exercida livremente pelo Estado e Município sobre qualquer imóvel, urbano ou rural, sem restrição alguma, como sempre se fez, sem qualquer oposição. - É o que fez a Prefeitura Municipal de Juquitiba, apoiada no decreto reproduzido..., e conforme o qual se constata não haver, da parte da Municipalidade, intenção de promover a redistribuição de terras, já que o imóvel, declarado de utilidade pública, se destina "à retirada de cascalho para manutenção e conservação de ruas e estradas municipais", atividade essa que os próprios impetrantes dizem haver a Prefeitura passado a exercer, tão logo imitida na posse. - Por tais razões, e pelas expendidas no excelente parecer da douta Procuradoria da Justiça, denega-se segurança. Julgado em 19-04-1978 Revista dos Tribunais. Agosto, 1978. Vol. 514. Pág. 156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comum pode ser exercida livremente pelo Estado ou Município sobre qualquer imóvel urbano ou rural, sem restrição alguma.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2026-10-26T02:35:05.620Z</dcterms:created>
  <dcterms:modified xsi:type="dcterms:W3CDTF">2026-10-26T02:35:05.620Z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