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DECLARATÓRIA DE NULIDADE DE EDITAL</w:t>
      </w:r>
    </w:p>
    <w:p/>
    <w:p>
      <w:r>
        <w:rPr>
          <w:b/>
          <w:bCs/>
        </w:rPr>
        <w:t xml:space="preserve">Julgado em: </w:t>
      </w:r>
      <w:r>
        <w:t xml:space="preserve">13/03/1978</w:t>
      </w:r>
    </w:p>
    <w:p/>
    <w:p>
      <w:r>
        <w:t xml:space="preserve">ERRO ESSENCIAL — PRAZO - QUAL O APLICÁVEL E COMO SE CONTA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primeiro fundamento do recurso é o de que o acórdão local ofende o art. 178, § 7º, I, do Código Civil. - A tese do Recorrente é a de que, nessa regra, o prazo deve ser contado a partir de quando ele verificou a recusa (da mulher) configuradora do erro sobre a sua pessoa, dela. - Sucede que o texto legal não admite essa interpretação, pois a celebração do casamento é o marco inicial do prazo e se acha determinado nele. - Se prevalecer o entendimento do Impugnante, a citada regra ficará desfeita, não só porque o autor da demanda terá o arbítrio de fixar o "dies a quo" o prazo, senão, também, porque poderá conluiar-se com o outro cônjuge para fixar esse termo inicial. - De qualquer forma, o prazo de um biênio é suficientemente delongado para o efeito de o cônjuge verificar que o outro se recusa a coabitar com ele. - Não é certo, pois, que o acórdão impugnado seja ofensivo desse norma federal. - O segundo fundamento do recurso não se acha provado. - Com efeito, os dois acórdãos apontados como paradigmas versaram assunto diferente do que foi julgado pelo aresto impugnado. - É o que se vê de suas ementas transcritas na petição do Recorrente sem que este cumprisse o que lhe ordena o verbete 291 da Súmula (*). - Não conheço do recurso. Julgado em 14-03-1978 Revista Trimestral de Jurisprudência. Setembro, 1978 - Vol. 85 - Pág. 833 (*) "No recurso extraordinário pela letra "d" do artigo 101, III, da Constituição, a prova do dissídio jurisprudencial far-se-á por certidão, ou mediante indicação do "Diário da Justiça" ou de repertório de jurisprudênc ia autorizado, com a transcrição do trecho que configure a divergência, mencionadas as circunstâncias que identifiquem ou assemelhem os casos confrontados." ("EMENTÁRIO FORENSE", Nº 195, t. RECURSO EXTRAORDINÁRIO, st. DIVERGÊNCIA JURISPRUDENCIAL) EMENTÁRIO FORENSE. Junho, 1979. Ano XXXI. Nº 367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Prescreve em dois anos, contado esse prazo a partir da celebração do casamento, a ação do cônjuge para o fim de anular esse ato pela causa prevista no art. 218 do Código Civil (erro essencial quanto à pessoa do outro). - É o que se acha expresso no art. 178, § 7º, I, do citado Código.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2026-10-26T02:35:01.396Z</dcterms:created>
  <dcterms:modified xsi:type="dcterms:W3CDTF">2026-10-26T02:35:01.396Z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