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 DE EDITAL</w:t>
      </w:r>
    </w:p>
    <w:p/>
    <w:p/>
    <w:p>
      <w:r>
        <w:t xml:space="preserve">SOTERRAMENTO DE PESSOA — DEVER DE INDENIZAR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Forçoso é reconhecer a obrigação do Estado de ressarcir os prejuízos dos pais que perdem o filho em conseqüência de queda de ponte, não interditada quando passou a constituir perigo para veículos e pedestres que nela transitavam. (Ementa do EMENTÁRIO FORENSE) V. o t. APELAÇÃO, st. EXAME e o t. DESPACHO SANEADOR, st. PRELIMINAR DA CONTESTAÇÃO EMENTÁRIO FORENSE. Junho, 1979. Ano XXXI. Nº 367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2026-10-26T03:42:09.003Z</dcterms:created>
  <dcterms:modified xsi:type="dcterms:W3CDTF">2026-10-26T03:42:09.003Z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