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07/11/1977</w:t>
      </w:r>
    </w:p>
    <w:p/>
    <w:p>
      <w:r>
        <w:t xml:space="preserve">PENDÊNCIA DE RECURSO NO EFEITO DEVOLUTIVO — SE DEPENDE DE CAUÇÃO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Decretado o despejo da impetrante, pretende ela que a execução, em face do recurso recebido no efeito só devolutivo, deva ser precedido da caução, dada a provisoriedade de tal execução; que a execução não pode ter início senão com citação por mandato, e que o prazo marcado na sentença deva fluir da notificação e não da publicação da sentença. - A pretensão da impetrante, só pode encontrar guarida no tocante ao último ponto focalizado, eis que, de fato a execução do despejo se faz por notificação ao réu para desocupar o imóvel no prazo marcado na sentença, prazo que se conta da notificação e não da simples ciência do julgado, como entendeu o Dr. Juiz "a quo". - Em uma única hipótese a regra acima referida comporta exceção, e é a do Dec. Lei nº 890, de 1969, quando, após homologado acordo para a desocupação no prazo de seis meses, contados da citação, o réu não efetivar a desocupação, caso em que se a expedido mandado de despejo, que se executará independentemente da notificação a que se refere o art. 352 do Código de Processo Civil. - As demais pretensões da impetrante, carecem de fundamento legal. - Com efeito ação de despejo é executiva "latu sensu", como a chama PONTES DE MIRANDA, e sua execução é sempre definitiva, não dependendo de caução, e a ciência do locatário para a desocupação voluntária se faz por notificação o não por citação. - Mandado de segurança concedido em parte. Julgado em 08-11-1977 Arquivo do Ementário Forense. TA/156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do despejo se faz por notificação ao réu e não depende de caução, ainda que pendendo recurso no efeito devolutivo.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2026-07-28T02:53:04.515Z</dcterms:created>
  <dcterms:modified xsi:type="dcterms:W3CDTF">2026-07-28T02:53:04.515Z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