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 80.856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24/04/1978</w:t>
      </w:r>
    </w:p>
    <w:p/>
    <w:p>
      <w:r>
        <w:t xml:space="preserve">PRAZO DE TRINTA DIAS — INOBSERVÂNCIA - SE IMPEDE AO PORTADOR A AÇÃO CONTRA EMITENTE E SEUS AVALISTAS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incide no caso o art. 40 da Lei Uniforme de Genebra, isto por causa da reserva que se lê no art. 20 do Anexo II, a que se refere o Decreto nº 57.595/66. - Incide na espécie o art. 5º do Decreto nº 2.591/1912. - É a orientação que prevalece no Supremo Tribunal, como se lê no verbete 600 da Súmula, verbis: "Cabe ação executiva contra o emitente e seus avalistas, ainda que não apresentado o cheque ao sacado no prazo legal, desde que não prescrita a ação cambiária." - Sem dúvida, no julgamento do ERE 80.856, em 03-12-75, o Plenário do STF adotou o entendimento de que a falta de apresentação do cheque, no prazo legal, ao sacado, retira do portador o direito de ajuizar ação executiva conta os endossadores e seus avalistas, e não contra o emitente e seus avalistas, pois, no caso, é aplicável o art. 5º, do Decreto nº 2.591, de 07-08-1912, que regula o assunto. - Considerando que o acórdão impugnado se harmoniza com a orientação do Supremo Tribunal, voto por que se negue conhecimento ao recurso. Julgado em 25-04-1978 Revista Trimestral de Jurisprudência. Novembro, 1978 - Vol. 86 - Pág. 508 EMENTÁRIO FORENSE. Agosto, 1979. Ano XXXI. Nº 369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Incidência do art. 5 do Decreto nº 2.591/1912. - A apresentação do cheque ao sacado após o vencimento do prazo de trinta dias não retira ao portador o direito de ajuizar ação cambial ou executiva contra o emitente e seus avalistas.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2026-10-26T07:06:09.186Z</dcterms:created>
  <dcterms:modified xsi:type="dcterms:W3CDTF">2026-10-26T07:06:09.186Z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