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80.856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24/04/1978</w:t>
      </w:r>
    </w:p>
    <w:p/>
    <w:p>
      <w:r>
        <w:t xml:space="preserve">PRAZO DE TRINTA DIAS — INOBSERVÂNCIA - SE IMPEDE AO PORTADOR A AÇÃO CONTRA EMITENTE E SEUS AVALISTAS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incide no caso o art. 40 da Lei Uniforme de Genebra, isto por causa da reserva que se lê no art. 20 do Anexo II, a que se refere o Decreto nº 57.595/66. - Incide na espécie o art. 5º do Decreto nº 2.591/1912. - É a orientação que prevalece no Supremo Tribunal, como se lê no verbete 600 da Súmula, verbis: "Cabe ação executiva contra o emitente e seus avalistas, ainda que não apresentado o cheque ao sacado no prazo legal, desde que não prescrita a ação cambiária." - Sem dúvida, no julgamento do ERE 80.856, em 03-12-75, o Plenário do STF adotou o entendimento de que a falta de apresentação do cheque, no prazo legal, ao sacado, retira do portador o direito de ajuizar ação executiva conta os endossadores e seus avalistas, e não contra o emitente e seus avalistas, pois, no caso, é aplicável o art. 5º, do Decreto nº 2.591, de 07-08-1912, que regula o assunto. - Considerando que o acórdão impugnado se harmoniza com a orientação do Supremo Tribunal, voto por que se negue conhecimento ao recurso. Julgado em 25-04-1978 Revista Trimestral de Jurisprudência. Novembro, 1978 - Vol. 86 - Pág. 508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Incidência do art. 5 do Decreto nº 2.591/1912. - A apresentação do cheque ao sacado após o vencimento do prazo de trinta dias não retira ao portador o direito de ajuizar ação cambial ou executiva contra o emitente e seus avalistas.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2026-07-28T00:27:29.645Z</dcterms:created>
  <dcterms:modified xsi:type="dcterms:W3CDTF">2026-07-28T00:27:29.645Z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