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19/07/1978</w:t>
      </w:r>
    </w:p>
    <w:p/>
    <w:p>
      <w:r>
        <w:t xml:space="preserve">SE A OPOSIÇÃO DAQUELA IMPEDE QUE SE PROCEDA A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Mostra-se perfeitamente compatível com a sistemática processual o entendimento seguido pelo Magistrado, de que exigência da prévia garantia do juízo, como ato-condição para dedução de embargos pelo executado, estende-se também à defesa indireta, exercida através da oposição de exceção de incompetência, tendo-se presente que essas duas formas de defesa provocam, indistintamente, o mesmo efeito processual, qual seja, o de suspender a execução (cf. art. 791, nsº. I e II, do Código de Processo Civil). - Razoável, portanto, a providência judicial, determinando se procedesse à penhora, apesar de oposta a "declinatoria fori", até porque, a critério do Juiz, com vista às peculiaridades do caso. Podem ser determinadas providências cautelares urgentes, malgrado suspensa a execução (art. 793 do Código de Processo Civil). - O fato aliás de a penhora consistir num ato destinado a individuar e preservar bens para submetê-los à execução já põe a mostra o caráter cautelar que informa esse instituto, a ponto de ZANZUCHI conceituá-lo como um provimento cautelar com fim executivo ("apud" "Processo de Execução", ed. 1975, pág. 196, de HUMBERTO THEODORO JÚNIOR). - Não há falar-se, por conseguinte, em nulidade de penhora, por ter sucedido à oposição de exceção de incompetência no processo de execução. - Conduziu-se também com inegável acerto o Magistrado quando, após repelida a exceção de incompetência, na decisão proferida no juízo de retratação, em sede de agravo de instrumento, ordenou o prosseguimento da execução, até então suspensa pela oposição da "exceptio". - Como bem anota THEOTÔNIO NEGRÃO, em escólio ao art. 306 do Código de Processo Civil a suspensão do processo termina com o julgamen to da exceção de incompetência pelo juiz; de impedimento ou suspensão, pelo tribunal (cf. "Código de Processo Civil e Legislação Processual em Vigor", 5ª ed., 1976, pág. 104). - Rejeitada, por conseguinte, a exceção e reencetada a execução dado que o agravo de instrumento é desprovido de efeito suspensivo abriu-se para o executado, ora impetrante, a oportunidade de opor embargos, de que, todavia, não se valeu conquanto intimado da efetivação de penhora (art. 738, nº I, do Código de Processo Civil). - Colhe-se do exposto que nenhuma lesão ao direito subjetivo processual do impetrante foi provocada pela atividade jurisdicional contida rigorosamente nos limites da lei, impondo-se daí, a denegação da segurança. Julgado em 20-07-1978 Revista dos Tribunais. Setembro, 1979 - Vol. 515 - Pág. 159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306 e 793 do Código de Processo Civil. - Pode o Juiz, em execução por quantia certa, determinar que se proceda à penhora, apesar de oposta exceção de incompetência.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2026-07-28T02:47:37.926Z</dcterms:created>
  <dcterms:modified xsi:type="dcterms:W3CDTF">2026-07-28T02:47:37.926Z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