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CONSTITUCIONAL</w:t>
      </w:r>
    </w:p>
    <w:p>
      <w:r>
        <w:rPr>
          <w:i/>
          <w:iCs/>
          <w:color w:val="666666"/>
        </w:rPr>
        <w:t xml:space="preserve">INDENIZAÇÃO POR DANO MORAL</w:t>
      </w:r>
    </w:p>
    <w:p/>
    <w:p/>
    <w:p>
      <w:r>
        <w:t xml:space="preserve">INCLUSÃO NA CATEGORIA DOS QUIROGRÁFICOS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matéria foi bem apreciada na parte expositiva do parecer de fls., pelo que os seus fundamentos passam a integrar o presente, na forma regimental. - De fato, a decisão afronta o artigo 24 da Lei 8.906/94, segundo o qual "a decisão judicial que fixar ou arbitrar honorários e o contrato escrito que os estipular são títulos executivos e constituem crédito privilegiado na falência, concordata, concurso de credores, insolvência civil e liquidação extrajudicial". Trata-se de norma de ordem pública, daí a justificar a legitimidade do Ministério Público, como "custos legis" (Súmula 99 do Superior Tribunal de Justiça) para recorrer. - A quebra do princípio "pars conditio creditorum", que constitui a regra do processo falimentar, justifica-se plenamente no caso, ante a inegável natureza alimentar dos honorários advocatícios. - Contudo, a inclusão do crédito deve fazer-se na categoria do privilégio geral, ante o que dispõe o parágrafo 3º do artigo 102 da Lei de Falências. - À luz das considerações supra, dá-se provimento parcial ao recurso para determinar a inclusão do crédito em discussão na categoria dos privilegiados gerais. Ac. de 13-08-2002 DJ de 26-08-2002 (Reg. nº 2001.001.15041) Arquivo do EMFOR, TJRJ/N 4399 EMENTÁRIO FORENSE. Fevereiro, 2003. Ano LV. Nº 651 EMENTA: - A denunciação da lide tem por finalidade garantir ao denunciante o direito de regresso contra a denunciada. Ocorre, que estando a denunciada com a falência decretada, não poderá haver ação regressiva, porém, habilitação dos seus credores. Afora isso, o incorporador e alienante das frações de terreno, no caso a agravada, é quem responderá pela indenização aos ex-titulares de unidades autônomas, nos termos do art. 40 §§ 1º e 2º da Lei nº 4.591/64. RESUMO DO ACÓRDÃO: - O agravante contratou a compra e venda de unidade imobiliária em construção, com a agravada, como se vê de fls., cuja obra seria construída pela denunciada Encol S/A - Engenharia Comércio e Indústria. - A denunciação da lide não faz sentido no presente caso, porque a denunciada está em processo falimentar, razão pela qual eventual ação regressiva, não será possível, porque os seus credores terão que se habilitar na falência. O chamamento da falida a estes autos, deslocaria a competência para o juízo falimentar, que se instalou no Estado de Goiás, significando que o agravante não terá tão cedo o direito de ver a sua pretensão decidida. - Por outro lado, estabelece a Lei nº 4.591/64, no seu art. 40, §§ 1º e 2º, que no caso de rescisão de contrato dessa natureza, consolidar-se-á, em favor do alienante da fração de terreno, o direito sobre a construção existente. O ex-titular do direito à aquisição de unidades autônomas haverá do mencionado alienante o valor da parcela de construção adicionado à unidade, salvo se a rescisão houver sido causada pelo ex-titular, o que não é a hipótese. Assim, quem responderá pela indenização será o incorporador, ora agravado. - Por tais fundamentos, dá-se provimento ao recurso. Ac. de 13-08-2002 DJ de 20-08-2002 (Reg. nº 2002.002.08761) Arquivo do EMFOR, TJRJ/N 4400 EMENTÁRIO FORENSE. Fevereiro, 2003. Ano LV. Nº 651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Lei 8.906/94 atribui aos honorários advocatícios a categoria de crédito privilegiado, ante a sua induvidosa natureza alimentar a justificar a quebra do princípio para "conditio creditorum".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2026-06-17T14:07:39.814Z</dcterms:created>
  <dcterms:modified xsi:type="dcterms:W3CDTF">2026-06-17T14:07:39.814Z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