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SOCIEDADE DE ECONOMIA MISTA</w:t>
      </w:r>
    </w:p>
    <w:p/>
    <w:p/>
    <w:p>
      <w:r>
        <w:t xml:space="preserve">FUNCIONÁRIO PÚBLICO MUNICIPAL COM OUTRO DE MEMBRO DE CONSELHO ADMINISTRATIVO DE EMPRESA MISTA QUE PARTICIPE MAJORITARIAMENTE O MESMO MUNICÍPIO — VEDAÇÃO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pretendida cobrança ajuizada pelo Apelante, em face da empresa de economia mista criada por lei municipal, ora Apelada, relativamente à remuneração, nos recuados anos de 1989, 1990 e 1992, em que exercera o mandato de Conselheiro Administrativo da empresa, conquanto à época, concomitantemente, estipendiado, ocupasse o cargo de Diretor na Administração Pública do mesmíssimo município petropolitano (fls.). - Na peça contestativa, acostando os estatutos sociais da demandada, cujo objetivo primário é o de produção e comercialização de unidades habitacionais de interesse social, em sintonia com as regras do BNH e governos municipais aderentes (fls.), assinalou-se a incompossibilidade do arremesso acionário vingar, face ao óbice constitucional dos incis os XVI e XVII, do art. 37, da Carta da República. Tal decorre da circunstância fática do autor-Apelante, às épocas referenciadas, ter exercido, concomitantemente, cargo de Diretor na Prefeitura Petropolitana; e, paralelamente, o de membro do Conselho da COFLUHAB, empresa de economia mista criada por lei local, da qual é a Municipalidade acionista majoritária (fls.). - Recebendo estipêndio pelo cargo público exercido, vedado lhe era aquinhoar-se com remuneração da empresa, o que de resto se compraz na igual vedação do Estatuto dos Servidores Públicos local(art. 118, § 1º), não reputado. - "Tollitur quaestio". - Como bem posicionou o emérito parecerista ministerial, o Dr. PAULO FERREIRA RODRIGUES: "a matéria encontra solução no art. 37, incisos XVI e XVII, da CF/88, que estabelece a vedação de acumulação de cargos públicos, dando as únicas exceções em que tal é permitido, desde que haja compatibilidade de horários. Argumenta o autor-apelante que havia compatibilidade de horários, mas tal só pode ser aferido dentro das exceções previstas na disposição constitucional, nas quais, efetivamente, ele não se enquadra" (sic - fl.). - No reflexo do que se lança na ementa que comanda este Acórdão, traduzindo o pensamento deste Relator, nego provimento ao apelo. Ac. de 29-10-1996 DJ de (OMISSO) (Reg. nº 1996.001.06139) Arquivo do EMFOR, TJRJ/N 4407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inacumulabilidade em cargos e empregos tangidos por dinheiro público, "n" vezes burlada, deriva de princípio ético e moral, de repúdio ao paternalismo político em benefício de uns poucos e em detrimento de muitos, evitando que as finanças públicas sirvam de fonte inesgotável a volúpia de apaniguados desde a primeira República estigmatizado pelo verbo flamante de RUI BARBOSA. - O vício, sob dissimulação, inobstante, perdura aqui, acolá, na campa das interpretações especiosas. - O predicado constitucional e vertical, com clareza e sem sofismas: preponderantemente, como regra, a inacumulabilidade, casuisticamente, por exceção, o exercício de dois cargos do magistério; um destes com outro técnico ou científico, ou de dois privativos de médico (art. 37, inc. XVI), regra granítica que se estende a empregos e funções quaisquer que sejam, abrangentemente as autarquias, empresas públicas, sociedades de economia mista e fundações públicas ("ex vi" do inciso XVII, do mesmo invocado preceptivo constitucional). - Nesse contexto, é irrelevante se argumentar com o fator de compatibilidade das jornadas de trabalho, destinada às exceções e não a regra.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2026-07-27T22:54:27.486Z</dcterms:created>
  <dcterms:modified xsi:type="dcterms:W3CDTF">2026-07-27T22:54:27.486Z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