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05/05/1977</w:t>
      </w:r>
    </w:p>
    <w:p/>
    <w:p>
      <w:r>
        <w:t xml:space="preserve">EXPLORAÇÃO PELO LOCADOR RETOMANTE DO MESMO GÊNERO DE NEGÓCIO DO LOCATÁRIO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Registro que a responsabilidade do locador ao descumprir o § 4º, do art. 21, do Decreto nº 24.150 34, é objetiva, porque ditada por essa norma sem a exigência de culpa, contrariamente do que sucede ao terceiro que descumpre sobredita regra, pois quanto a essoutro a responsabilidade só se consubstancia quando culposa (§ 5º do cit. dec.). - Assim, o locador deve indenizar a locatária mediante moeda corrigida no seu valor aquisitivo ou de troca, porque a indenização devida pelo causador de ato ilícito corresponde a uma dívida de valor e não pecuniária, como vem decidindo esta Corte (Súmula, verbete 562). Julgado em 06-05-1977 Revista Trimestral de Jurisprudência. Janeiro, 1978 - Vol. 83 - Pág. 115 (*) "Na indenização de danos materiais decorrentes de ato ilícito cabe a atualização de seu valor, utilizando-se, para esse fim, dentre outros critérios, dos índices de correção monetária." ("EMENTÁRIO FORENSE", Nº 340)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21, § 4º, do Decreto nº 24.150/34, concede ao locatário, o direito à indenização no caso em que, tomado pelo proprietário-locador o imóvel, venha ele a explorar no prédio a mesma espécie de negócio que o locatário explorava. Trata-se de responsabilidade objetiva, pois a dívida que lhe corresponde é de valor e sua moeda é corrigível.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2026-10-26T05:59:17.334Z</dcterms:created>
  <dcterms:modified xsi:type="dcterms:W3CDTF">2026-10-26T05:59:17.334Z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