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EXCEÇÃO DE CONTRATO NÃO CUMPRIDO</w:t>
      </w:r>
    </w:p>
    <w:p/>
    <w:p>
      <w:r>
        <w:rPr>
          <w:b/>
          <w:bCs/>
        </w:rPr>
        <w:t xml:space="preserve">Julgado em: </w:t>
      </w:r>
      <w:r>
        <w:t xml:space="preserve">05/05/1977</w:t>
      </w:r>
    </w:p>
    <w:p/>
    <w:p>
      <w:r>
        <w:t xml:space="preserve">EXPLORAÇÃO PELO LOCADOR RETOMANTE DO MESMO GÊNERO DE NEGÓCIO DO LOCATÁRIO — APLICAÇÃO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Registro que a responsabilidade do locador ao descumprir o § 4º, do art. 21, do Decreto nº 24.150 34, é objetiva, porque ditada por essa norma sem a exigência de culpa, contrariamente do que sucede ao terceiro que descumpre sobredita regra, pois quanto a essoutro a responsabilidade só se consubstancia quando culposa (§ 5º do cit. dec.). - Assim, o locador deve indenizar a locatária mediante moeda corrigida no seu valor aquisitivo ou de troca, porque a indenização devida pelo causador de ato ilícito corresponde a uma dívida de valor e não pecuniária, como vem decidindo esta Corte (Súmula, verbete 562). Julgado em 06-05-1977 Revista Trimestral de Jurisprudência. Janeiro, 1978 - Vol. 83 - Pág. 115 (*) "Na indenização de danos materiais decorrentes de ato ilícito cabe a atualização de seu valor, utilizando-se, para esse fim, dentre outros critérios, dos índices de correção monetária." ("EMENTÁRIO FORENSE", Nº 340) EMENTÁRIO FORENSE. Abril, 1979. Ano XXXI. Nº 365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art. 21, § 4º, do Decreto nº 24.150/34, concede ao locatário, o direito à indenização no caso em que, tomado pelo proprietário-locador o imóvel, venha ele a explorar no prédio a mesma espécie de negócio que o locatário explorava. Trata-se de responsabilidade objetiva, pois a dívida que lhe corresponde é de valor e sua moeda é corrigível.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2026-09-11T00:11:53.963Z</dcterms:created>
  <dcterms:modified xsi:type="dcterms:W3CDTF">2026-09-11T00:11:53.963Z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