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04/10/1977</w:t>
      </w:r>
    </w:p>
    <w:p/>
    <w:p>
      <w:r>
        <w:t xml:space="preserve">RITO PROCESSUAL QUE A DISPENSA — REALIZAÇÃO CONTUDO - SE VINCULA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verdade, assistia razão à agravante, quanto à realização de audiência, porque esse fato é dispensável no processamento da ação de adjudicação compulsória. - Contudo, não se justifica, a essa altura, prover o agravo, porque tal decisão não faria sentido e não teria efeito prático, até porque, dita audiência, por inútil, em nada alterou o direito das partes, podendo-se mesmo dizer que, a não ser o lamentável retardamento por ela causado, nenhum efeito produziu, já que a sentença poderia - e deveria ter sido - proferida sem ela. - Destarte, impõe-se reconhecer que improcede a preliminar da apelação, porque, se a sentença poderia ter sido prolatada sem audiência, é óbvio que qualquer Juiz que sucedesse o ilustre Magistrado que a presidiu teria competência para decidir a causa. Julgado em 05-10-1977 Arquivo do Ementário Forense, TA/155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que preside a audiência e encerra a instrução deve proferir a sentença, ainda que tenha sido transferido ou promovido. O artigo 132 do Código de Processo Civil só se aplica aos casos em que a audiência não se encerrou. Todavia, se se trata de procedimento cuja regulamentação expressamente dispensa a audiência, não há por que se manter vinculado o juiz que a realizou.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2026-09-10T22:11:00.628Z</dcterms:created>
  <dcterms:modified xsi:type="dcterms:W3CDTF">2026-09-10T22:11:00.628Z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