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Apelação Cível 853</w:t>
      </w:r>
    </w:p>
    <w:p>
      <w:r>
        <w:rPr>
          <w:b/>
          <w:bCs/>
        </w:rPr>
        <w:t xml:space="preserve">Julgado em: </w:t>
      </w:r>
      <w:r>
        <w:t xml:space="preserve">16/05/1978</w:t>
      </w:r>
    </w:p>
    <w:p/>
    <w:p>
      <w:r>
        <w:t xml:space="preserve">LEI QUE O DESCARACTERIZOU COMO FATOR DE CORREÇÃO — SE ATINGE A REPARAÇÃO DO DANO POR ATO ILÍCITO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Tem-se sustentado não se admitir que a Lei 6.205/75 possa atingir à modalidade de assistência legal consubstanciada na pensão alimentar. A desvinculação é para o mundo dos negócios coibindo a espiral inflacionária. (V.g. Apelação Cível nº 853 da Comarca da Capital - 7ª Câmara Cível - em acórdão publicado na Revista de Jurisprudência nº 39 págs. 170/71; e apelação cível nº 5.299 da 1ª Câmara Cível, em acórdão de 15 de dezembro de 1977, nas quais figuramos como relator). - Ainda recentemente, o egrégio Supremo Tribunal Federal, pela sua 2ª Turma, julgando o recurso extraordinário nº 85.384 - RJ., decidiu: "Responsabilidade civil. O levar-se em consideração o salário-mínimo para fixar a indenização do dano decorrente de ato ilícito não ofende a Lei 6.205/75" (in R.T.J., vol. 80/279). - Do voto do eminente Relator - Min. MOREIRA ALVES, extrai-se a seguinte argumentação: "Também não há que se pretender que o acórdão, louvando-se em laudo que leva em consideração salário-mínimo para fixação de pensões vencidas e vincendas, tenha ofendido Lei nº 6.205/75, que apenas veda a utilização do salário-mínimo como coeficiente de atualização monetária, e, não obviamente, como elemento para cálculo de pensão, a título de lucro cessante, em matéria de indenização". - Recebem-se assim, os 1ºs embargos de autora-exeqüente. Julgado em 17-05-1978 Arquivo do Ementário Forense, TJ/634 EMENTÁRIO FORENSE. Março, 1979. Ano XXXI. Nº 364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referência ao salário mínimo como coeficiente de correção está consagrada na decisão exeqüenda. A Lei 6.205/75 foi editada para o mundo dos negócios, não atingindo à modalidade de assistência legal consubstanciada na pensão alimentar ou na reparação do dano proveniente de ato ilícito.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2026-06-17T15:27:09.572Z</dcterms:created>
  <dcterms:modified xsi:type="dcterms:W3CDTF">2026-06-17T15:27:09.572Z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