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02/11/1977</w:t>
      </w:r>
    </w:p>
    <w:p/>
    <w:p>
      <w:r>
        <w:t xml:space="preserve">ATO LEVADO A EFEITO NA CONSTÂNCIA DO CASAMENTO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Atenuando a proibição contida no art. 358 do CC, a Lei nº 883, de 1949, veio a prescrever que, "dissolvida a sociedade conjugal, será permitido a qualquer dos cônjuges o reconhecimento do filho havido fora do matrimônio e, ao filho, a ação para que se lhe declare a filiação" (art. 1º). - O "de cujos", na constância do seu casamento, reconheceu os quatro filhos adulterinos nos respectivos assentos de nascimento (fls.). - Embora irregulares esses reconhecimentos, não implicam nulidade absoluta, de pleno direito. Ocorreria, tão-somente, a sua ineficácia jurídica enquanto subsistisse a sociedade conjugal; e, portanto, com a dissolução desta, os atos passaram a produzir todos os seus efeitos, se enquanto não desconstituídos pelas vias regulares. - Esse entendimento tem apoio na doutrina EDGARD DE MOURA BITTENCOURT. "O Concubinato no Direito", ed. 1969, vol. III/32-33, § 282-A; SERPA LOPES "Curso de Direito Civil", vol. I/505) e na Jurisprudência predominante ("Revista Jurisprudência do TJSP" 13/94, 36/213, 39/166 e 42/217; RT 457/216, 440/229, 435/192), inclusive a do STF (RTJ 32/457, 49/694 e 65/835). - Em suma, correta a decisão agravada, que fica mantida. Julgado em 03-11-1977 Revista dos Tribunais. Junho, 1978 - Vol. 512 - Pág. 122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de filho adulterino na constância do casamento produz efeitos após a dissolução deste. O filho adulterino, no inventário do pai, tem direito à metade do que couber ao filho legítimo.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2026-07-28T02:22:03.327Z</dcterms:created>
  <dcterms:modified xsi:type="dcterms:W3CDTF">2026-07-28T02:22:03.327Z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