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02/11/1977</w:t>
      </w:r>
    </w:p>
    <w:p/>
    <w:p>
      <w:r>
        <w:t xml:space="preserve">ATO LEVADO A EFEITO NA CONSTÂNCIA DO CASAMENTO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Atenuando a proibição contida no art. 358 do CC, a Lei nº 883, de 1949, veio a prescrever que, "dissolvida a sociedade conjugal, será permitido a qualquer dos cônjuges o reconhecimento do filho havido fora do matrimônio e, ao filho, a ação para que se lhe declare a filiação" (art. 1º). - O "de cujos", na constância do seu casamento, reconheceu os quatro filhos adulterinos nos respectivos assentos de nascimento (fls.). - Embora irregulares esses reconhecimentos, não implicam nulidade absoluta, de pleno direito. Ocorreria, tão-somente, a sua ineficácia jurídica enquanto subsistisse a sociedade conjugal; e, portanto, com a dissolução desta, os atos passaram a produzir todos os seus efeitos, se enquanto não desconstituídos pelas vias regulares. - Esse entendimento tem apoio na doutrina EDGARD DE MOURA BITTENCOURT. "O Concubinato no Direito", ed. 1969, vol. III/32-33, § 282-A; SERPA LOPES "Curso de Direito Civil", vol. I/505) e na Jurisprudência predominante ("Revista Jurisprudência do TJSP" 13/94, 36/213, 39/166 e 42/217; RT 457/216, 440/229, 435/192), inclusive a do STF (RTJ 32/457, 49/694 e 65/835). - Em suma, correta a decisão agravada, que fica mantida. Julgado em 03-11-1977 Revista dos Tribunais. Junho, 1978 - Vol. 512 - Pág. 122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de filho adulterino na constância do casamento produz efeitos após a dissolução deste. O filho adulterino, no inventário do pai, tem direito à metade do que couber ao filho legítimo.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2026-10-26T03:41:36.030Z</dcterms:created>
  <dcterms:modified xsi:type="dcterms:W3CDTF">2026-10-26T03:41:36.030Z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