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RENÚNCIA DE HERANÇA</w:t>
      </w:r>
    </w:p>
    <w:p/>
    <w:p>
      <w:r>
        <w:rPr>
          <w:b/>
          <w:bCs/>
        </w:rPr>
        <w:t xml:space="preserve">Julgado em: </w:t>
      </w:r>
      <w:r>
        <w:t xml:space="preserve">29/09/1977</w:t>
      </w:r>
    </w:p>
    <w:p/>
    <w:p>
      <w:r>
        <w:t xml:space="preserve">IMPROCEDÊNCIA — ALUGUEL - QUAL O DEVIDO ATÉ A DESOCUPAÇÃO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despacho do nobre Presidente do Colendo Supremo Tribunal de Alçada Civil de São Paulo, despacho pelo qual foi indeferido o recurso, assim expõe o caso: "Nego seguimento ao presente extraordinário, interposto com base nas alíneas "a" e "d" do permissivo constitucional. Trata-se de recurso relativo ao v. acórdão proferido em grau de embargos infringentes e versando discussão sobre o qual o aluguel a viger após julgada improcedente renovatória de contrato de locação comercial. O acórdão recorrido confirmou a tese do embargo no sentido de que, em casos como este, o locatário deve pagar o aluguel fixado pela perícia, um novo aluguel. Dessa confirmação resultou o presente extraordinário. A recorrente alega que a solução deste litígio não se ajusta aos termos expressos da lei protetora do comerciante (arts. 16 e 17 do Decreto nº 24.150/34). E diz em seguida que na espécie existe um dissídio de jurisprudência perfeitamente caracterizado... É fácil verificar que o acórdão recorrido deu interpretação razoável à lei, aplicando-se ao caso, portanto, a Súmula nº 400, mas quanto à sobredita alínea "a". De fato: o Colendo Supremo Tribunal já afirmou, em mais de uma de suas egrégias Turmas que, em casos tais, deve ser atualizado o aluguel após o término do contrato não renovado (R.T.J. 57/729 e 64/562). Tanto basta para caracterizar a razoabilidade de interpretação dada por este Tribunal à lei aplicável... DO VOTO - Este o parecer da Procuradoria-Geral da República, da autoria do Procurador WALTER JOSÉ DE MEDEIROS: "Em verdade, o douto despacho presidencial responde, com precisão e fundamentadamente, a todas as questões pr opostas no apelo excepcional, manifestamente descabido. Quanto ao aluguel a viger a partir do término do prazo contratual até a efetiva desocupação do imóvel, pacífica já se tornou a jurisprudência do Supremo Tribunal no sentido de dever ser atualizada, tal como se decidiu na instância "a quo". Por outro lado o invocado dissídio exegético está longe de lograr comprovação, uma vez infringidas as prescrições do art. 305 do Regimento Interno. De aplicar-se, por último, à espécie, a regra contida na Súmula nº 282, (*) mas em nenhum passo a v. decisão recorrida afrontou o disposto no art. 16 da Lei de Luvas. Pelo não conhecimento." - De acordo com esse parecer e na conformidade, ainda, do despacho presidencial, que bem examinou a espécie, não conheço preliminarmente, do recurso. Julgado em 30-09-1977 Revista Trimestral de Jurisprudência. Junho, 1978 - Vol. 84 - Pág. 84 (*) "Decisão que deu razoável interpretação à lei, ainda que não seja a melhor, não autoriza recurso extraordinário pela letra "a" do art. 101, III, da Constituição Federal." ("E.F.", Nº 191, t. RECURSO EXTRAORDINÁRIO, st. OFENSA A LEI FEDERAL) (*) "É inadmissível o recurso extraordinário, quando não ventilada, na decisão recorrida, a questão federal suscitada." ("E.F.", Nº 195, t. RECURSO EXTRAORDINÁRIO, st. CABIMENTO)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Pacífica a jurisprudência do Supremo Tribunal Federal no sentido de que o aluguel a ser pago após a improcedência da ação renovatória e até a efetiva desocupação do imóvel deve ser atualizado por perícia.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2026-10-26T02:33:26.838Z</dcterms:created>
  <dcterms:modified xsi:type="dcterms:W3CDTF">2026-10-26T02:33:26.838Z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