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p>
      <w:r>
        <w:t xml:space="preserve">10. TRIBUTAÇÃO, FISCALIZAÇÃO, ARRECADAÇÃO E ADMINISTRAÇÃO — REGULAMENTA</w:t>
      </w:r>
    </w:p>
    <w:p/>
    <w:p>
      <w:pPr>
        <w:pStyle w:val="Heading2"/>
      </w:pPr>
      <w:r>
        <w:rPr>
          <w:b/>
          <w:bCs/>
        </w:rPr>
        <w:t xml:space="preserve">Ementa</w:t>
      </w:r>
    </w:p>
    <w:p>
      <w:r>
        <w:t xml:space="preserve">TÍTULO IV DETERMINAÇÃO DA BASE DE CÁLCULO Subtítulo I Disposições Gerais Art. 218. O imposto de renda das pessoas jurídicas, inclusive das equiparadas, das sociedades civis em geral e das sociedades cooperativas em relação aos resultados obtidos nas operações ou atividades estranhas à sua finalidade, será devido à medida em que os rendimentos, ganhos e lucros forem sendo auferidos (Lei nº 8.981, de 1995, art. 25, e Lei nº 9.430, de 1996, arts. 1º e 55). CAPÍTULO I BASE DE CÁLCULO Art. 219. A base de cálculo do imposto, determinada segundo a lei vigente na data de ocorrência do fato gerador, é o lucro real (Subtítulo III), presumido (Subtítulo IV) ou arbitrado (Subtítulo V), correspondente ao período de apuração (Lei nº 5.172, de 1966, arts. 44, 104 e 144, Lei nº 8.981, de 1995, art. 26, e Lei nº 9.430, de 1996, art. 1º). Parágrafo único. Integram a base de cálculo todos os ganhos e rendimentos de capital, qualquer que seja a denominação que lhes seja dada, independentemente da natureza, da espécie ou da existência de título ou contrato escrito, bastando que decorram de ato ou negócio que, pela sua finalidade, tenha os mesmos efeitos do previsto na norma específica de incidência do imposto (Lei nº 7.450, de 1985, art. 51, Lei nº 8.981, de 1995, art. 76, § 2º, e Lei nº 9.430, de 1996, arts. 25, inciso II, e 27, inciso II). CAPÍTULO II PERÍODO DE APURAÇÃO Seção I Apuração Trimestral do Imposto Art. 220. O imposto será determinado com base no lucro real, presumido ou arbitrado, por períodos de apuração trimestrais, encerrados nos dias 31 de março, 30 de junho, 30 de setembro e 31 de dezembro de cada ano-calendário (Lei nº 9.430, de 1996, art. 1º). § 1º Nos casos de incorporação, fusão ou cisão, a apuração da base de cálculo e do imposto devido será efetuada na data do evento, observado o disposto nos §§ 1º a 5º do art. 235 (Lei nº 9.430, de 1996, art. 1º, § 1º). § 2º Na extinção da pessoa jurídica, pelo encerramento da liquidação, a apuração da base de cálculo e do imposto devido será efetuada na data desse evento (Lei nº 9.430, de 1996, art. 1º, § 2º). Seção II Apuração Anual do Imposto Art. 221. A pessoa jurídica que optar pelo pagamento do imposto na forma desta Seção deverá apurar o lucro real em 31 de dezembro de cada ano (Lei nº 9.430, de 1996, art. 2º, § 3º). Parágrafo único. Nas hipóteses de que tratam os §§ 1º e 2º do art. 220, o lucro real deverá ser apurado na data do evento (Lei nº 9.430, de 1996, art. 1º, §§ 1º e 2º). Subseção I Pagamento por Estimativa Art. 222. A pessoa jurídica sujeita à tributação com base no lucro real poderá optar pelo pagamento do imposto e adicional, em cada mês, determinados sobre base de cálculo estimada (Lei nº 9.430, de 1996, art. 2º). Parágrafo único. A opção será manifestada com o pagamento do imposto correspondente ao mês de janeiro ou de início de atividade, observado o disposto no art. 232 (Lei nº 9.430, de 1996, art. 3º, parágrafo único). Subseção II Base de Cálculo Art. 223. A base de cálculo do imposto, em cada mês, será determinada mediante a aplicação do percentual de oito por cento sobre a receita bruta auferida mensalmente, observadas as disposições desta Subseção (Lei nº 9.249, de 1995, art. 15, e Lei nº 9.430, de 1996, art. 2º). § 1º Nas seguintes atividades, o percentual de que trata este artigo será de (Lei nº 9.249, de 1995, art. 15, § 1º): I - um inteiro e seis décimos por cento, para a atividade de revenda, para consumo, de combustível derivado de petróleo, álcool etílico carburante e gás natural; II - dezesseis por cento: a) para a atividade de prestação de serviços de transporte, exceto o de carga, para o qual se aplicará o percentual previsto no caput deste artigo; b) para as pessoas jurídicas cujas atividades sejam de bancos comerciais, bancos de investimentos, bancos de desenvolvimento, caixas econômicas, sociedades de crédito, financiamento e investimento, sociedades de crédito imobiliário, sociedades corretoras de títulos, valores mobiliários e câmbio, distribuidoras de títulos e valores mobiliários, empresas de arrendamento mercantil, cooperativas de crédito, empresas de seguros privados e de capitalização e entidades de previdência privada aberta, observado o disposto no art. 226; III - trinta e dois por cento, para as atividades de: a) prestação de serviços em geral, exceto a de serviços hospitalares; b) intermediação de negócios; c) administração, locação ou cessão de bens imóveis, móveis e direitos de qualquer natureza; d) prestação cumulativa e con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2026-07-27T22:45:35.533Z</dcterms:created>
  <dcterms:modified xsi:type="dcterms:W3CDTF">2026-07-27T22:45:35.533Z</dcterms:modified>
</cp:coreProperties>
</file>

<file path=docProps/custom.xml><?xml version="1.0" encoding="utf-8"?>
<Properties xmlns="http://schemas.openxmlformats.org/officeDocument/2006/custom-properties" xmlns:vt="http://schemas.openxmlformats.org/officeDocument/2006/docPropsVTypes"/>
</file>