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 DE RENDA</w:t>
      </w:r>
    </w:p>
    <w:p>
      <w:r>
        <w:rPr>
          <w:i/>
          <w:iCs/>
          <w:color w:val="666666"/>
        </w:rPr>
        <w:t xml:space="preserve">SOCIEDADE PRESTADORA DE SERVIÇOS</w:t>
      </w:r>
    </w:p>
    <w:p/>
    <w:p/>
    <w:p>
      <w:r>
        <w:t xml:space="preserve">12. TRIBUTAÇÃO, FISCALIZAÇÃO, ARRECADAÇÃO E ADMINISTRAÇÃO — REGULAMENTA</w:t>
      </w:r>
    </w:p>
    <w:p/>
    <w:p>
      <w:pPr>
        <w:pStyle w:val="Heading2"/>
      </w:pPr>
      <w:r>
        <w:rPr>
          <w:b/>
          <w:bCs/>
        </w:rPr>
        <w:t xml:space="preserve">Ementa</w:t>
      </w:r>
    </w:p>
    <w:p>
      <w:r>
        <w:t xml:space="preserve">Seção III Livros Fiscais Art. 260. A pessoa jurídica, além dos livros de contabilidade previstos em leis e regulamentos, deverá possuir os seguintes livros (Lei nº 154, de 1947, art. 2º, e Lei nº 8.383, de 1991, art. 48, e Decreto-Lei nº 1.598, de 1977, arts. 8º e 27): I - para registro de inventário; II - para registro de entradas (compras); III - de Apuração do Lucro Real - LALUR; IV - para registro permanente de estoque, para as pessoas jurídicas que exercerem atividades de compra, venda, incorporação e construção de imóveis, loteamento ou desmembramento de terrenos para venda; V - de Movimentação de Combustíveis, a ser escriturado diariamente pelo posto revendedor. § 1º Relativamente aos livros a que se referem os incisos I, II e IV, as pessoas jurídicas poderão criar modelos próprios que satisfaçam às necessidades de seu negócio, ou utilizar os livros porventura exigidos por outras leis fiscais, ou, ainda, substituí-los por séries de fichas numeradas (Lei nº 154, de 1947, art. 2º, §§ 1º e 7º). § 2º Os livros de que tratam os incisos I e II, ou as fichas que os substituírem, serão registrados e autenticados pelo Departamento Nacional de Registro do Comércio, ou pelas Juntas Comerciais ou repartições encarregadas do registro de comércio, e, quando se tratar de sociedade civil, pelo Registro Civil de Pessoas Jurídicas ou pelo Cartório de Registro de Títulos e Documentos (Lei nº 154, de 1947, arts. 2º, § 7º, e 3º, e Lei nº 3.470, de 1958, art. 71). § 3º Para os efeitos do parágrafo anterior, a autenticação do novo livro será feita mediante a exibição do livro ou registro anterior a ser encerrado, quando for o caso (Lei nº 154, de 1947, art. 3º, parágrafo único). § 4º No caso de pessoa física equiparada à pessoa jurídica pela prática das operações imobiliárias de que tratam os arts. 151 a 153, a autenticação do livro para registro permanente de estoque será efetuada pelo órgão da Secretaria da Receita Federal. Art. 26 1. No Livro de Inventário deverão ser arrolados, com especificações que facilitem sua identificação, as mercadorias, os produtos manufaturados, as matérias-primas, os produtos em fabricação e os bens em almoxarifado existentes na data do balanço patrimonial levantado ao fim da cada período de apuração (Lei nº 154, de 1947, art. 2º, § 2º, Lei nº 6.404, de 1976, art. 183, inciso II, e Lei nº 8.541, de 1992, art. 3º). Parágrafo único. Os bens mencionados neste artigo serão avaliados de acordo com o disposto nos arts. 292 a 298. Livro de Apuração do Lucro Real Art. 262. No LALUR, a pessoa jurídica deverá (Decreto-Lei nº 1.598, de 1977, art. 8º, inciso I): I - lançar os ajustes do lucro líquido do período de apuração; II - transcrever a demonstração do lucro real; III - manter os registros de controle de prejuízos fiscais a compensar em períodos de apuração subseqüentes, do lucro inflacionário a realizar, da depreciação acelerada incentivada, da exaustão mineral, com base na receita bruta, bem como dos demais valores que devam influenciar a determinação do lucro real de períodos de apuração futuros e não constem da escrituração comercial; IV - manter os registros de controle dos valores excedentes a serem utilizados no cálculo das deduções nos períodos de apuração subseqüentes, dos dispêndios com programa de alimentação ao trabalhador, vale-transporte e outros previstos neste Decreto. Art. 263. O LALUR poderá ser escriturado mediante a utilização de sistema eletrônico de processamento de dados, observadas as normas baixadas pela Secretaria da Receita Federal (Lei nº 8.218, de 1991, art. 18). Seção IV Conservação de Livros e Comprovantes Art. 264. A pessoa jurídica é obrigada a conservar em ordem, enquanto não prescritas eventuais ações que lhes sejam pertinentes, os livros, documentos e papéis relativos a sua atividade, ou que se refiram a atos ou operações que modifiquem ou possam vir a modificar sua situação patrimonial (D ecreto-Lei nº 486, de 1969, art. 4º). § 1º Ocorrendo extravio, deterioração ou destruição de livros, fichas, documentos ou papéis de interesse da escrituração, a pessoa jurídica fará publicar, em jornal de grande circulação do local de seu estabelecimento, aviso concernente ao fato e deste dará minuciosa informação, dentro de quarenta e oito horas, ao órgão competente do Registro do Comércio, remetendo cópia da comunicação ao órgão da Secretaria da Receita Federal de sua jurisdição (Decreto-Lei nº 486, de 1969, art. 10). § 2º A legalização de novos livros ou fichas só será providenciada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2026-07-27T22:53:46.578Z</dcterms:created>
  <dcterms:modified xsi:type="dcterms:W3CDTF">2026-07-27T22:53:46.578Z</dcterms:modified>
</cp:coreProperties>
</file>

<file path=docProps/custom.xml><?xml version="1.0" encoding="utf-8"?>
<Properties xmlns="http://schemas.openxmlformats.org/officeDocument/2006/custom-properties" xmlns:vt="http://schemas.openxmlformats.org/officeDocument/2006/docPropsVTypes"/>
</file>