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DESPESAS DE ADMINISTRAÇÃO</w:t>
      </w:r>
    </w:p>
    <w:p/>
    <w:p/>
    <w:p>
      <w:r>
        <w:t xml:space="preserve">18. TRIBUTAÇÃO, FISCALIZAÇÃO, ARRECADAÇÃO E ADMINISTRAÇÃO — REGULAMENTA</w:t>
      </w:r>
    </w:p>
    <w:p/>
    <w:p>
      <w:pPr>
        <w:pStyle w:val="Heading2"/>
      </w:pPr>
      <w:r>
        <w:rPr>
          <w:b/>
          <w:bCs/>
        </w:rPr>
        <w:t xml:space="preserve">Ementa</w:t>
      </w:r>
    </w:p>
    <w:p>
      <w:r>
        <w:t xml:space="preserve">Venda a Prazo ou em Prestações Art. 413. Na venda a prazo, ou em prestações, com pagamento após o término do ano-calendário da venda, o lucro bruto poderá, para efeito de determinação do lucro real, ser reconhecido nas contas de resultado de cada período de apuração proporcionalmente à receita da venda recebida, observadas as seguintes normas (Decreto-Lei nº 1.598, de 1977, art. 29): I - o lucro bruto será registrado em conta específica de resultados de exercícios futuros, para a qual serão transferidos a receita de venda e o custo do imóvel, inclusive o orçado (art. 412), se for o caso; II - por ocasião da venda será determinada a relação entre o lucro bruto e a receita bruta de venda e, em cada período de apuração, será transferida para as contas de resultado parte do lucro bruto proporcional à receita recebida no mesmo período; III - a atualização monetária do orçamento e a diferença posteriormente apurada, entre custo orçado e efetivo, deverão ser transferidas para a conta específica de resultados de exercícios futuros, com o conseqüente reajustamento da relação entre o lucro bruto e a receita bruta de venda, de que trata o inciso II, levando-se à conta de resultados a diferença de custo correspondente à parte do preço de venda já recebido; IV - se o custo efetivo foi inferior, em mais de quinze por cento, ao custo orçado, aplicar-se-á o disposto no § 2º do art. 412. § 1º Se a venda for contratada com juros, estes deverão ser apropriados nos resultados dos períodos de apuração a que competirem (Decreto-Lei nº 1.598, de 1977, art. 29, § 1º). § 2º A pessoa jurídica poderá registrar como variação monetária passiva as atualizações monetárias do custo contratado e do custo orçado, desde que o critério seja aplicado uniformemente (Decreto-Lei nº 2.429, de 14 de abril de 1988, art. 10). Venda com Atualização Monetária Art. 414. Na venda contratada com cláusula de atualização monetária do saldo credor do preço, a contrapartida d a atualização, nas condições estipuladas no contrato, da receita de vendas a receber será computada, no resultado do período de apuração, como variação monetária (art. 375), pelo valor que exceder a atualização, segundo os mesmos critérios, do saldo do lucro bruto registrado na conta de resultados de exercícios futuros de que trata o inciso I do artigo anterior (Decreto-Lei nº 1.598, de 1977, art. 29, § 2º, e Lei nº 9.069, de 29 de junho de 1995, art. 28). Seção XI Arrendamento Mercantil Art. 415. O tratamento tributário das operações de arrendamento mercantil reger-se-á pelas disposições da Lei nº 6.099, de 1974, com as alterações procedidas pela Lei nº 7.132, de 1983, observadas as normas de apuração de resultados fixadas pelo Ministro de Estado da Fazenda. Seção XII Petróleo Brasileiro S.A. - PETROBRÁS Despesas de Prospecção e Extração de Petróleo Cru Art. 416. A Petróleo Brasileiro S.A. - PETROBRÁS poderá deduzir, para efeito de determinação do lucro líquido, as importâncias aplicadas, em cada período de apuração, na prospecção e extração de petróleo cru (Decreto-Lei nº 62, de 21 de novembro de 1966, art. 12). Atualização do Custo do Petróleo Bruto Art. 417. O valor da atualização do custo CIF do petróleo bruto, considerado na forma e para os fins do § 3º do art. 2º do Decreto-Lei nº 61, de 21 de novembro de 1966, aplicado às quantidades de petróleo bruto e derivados existentes na PETROBRÁS, na data de cada atualização, poderá, mediante autorização do Ministro de Estado das Minas e Energia, ser registrado pela companhia em conta especial para atender a despesas com a prospecção e extração de petróleo em território nacional, não sujeito à tributação pelo imposto sobre a renda (Decreto-Lei nº 61, de 1966, art. 2º, § 8º, e Lei nº 7.693, de 20 de dezembro de 1988, art. 1º). CAPÍTULO VII RESULTADOS NÃO OPERACIONAIS Seção I Ganhos e Perdas de Capital Subseção I Disposições Gerais Art. 418. Serão classificados como g anhos ou perdas de capital, e computados na determinação do lucro real, os resultados na alienação, na desapropriação, na baixa por perecimento, extinção, desgaste, obsolescência ou exaustão, ou na liquidação de bens do ativo permanente (Decreto-Lei nº 1.598, de 1977, art. 31). § 1º Ressalvadas as disposições especiais, a determinação do ganho ou perda de capital terá por base o valor contábil do bem, assim entendido o que estiver registrado na escrituração do contribuinte e diminuído, se for o caso, da depreciação, amortização ou exaustão acumulada (Decreto-Lei nº 1.598, de 1977, art.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2026-07-28T00:26:09.648Z</dcterms:created>
  <dcterms:modified xsi:type="dcterms:W3CDTF">2026-07-28T00:26:09.648Z</dcterms:modified>
</cp:coreProperties>
</file>

<file path=docProps/custom.xml><?xml version="1.0" encoding="utf-8"?>
<Properties xmlns="http://schemas.openxmlformats.org/officeDocument/2006/custom-properties" xmlns:vt="http://schemas.openxmlformats.org/officeDocument/2006/docPropsVTypes"/>
</file>