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p>
      <w:r>
        <w:t xml:space="preserve">28. TRIBUTAÇÃO, FISCALIZAÇÃO, ARRECADAÇÃO E ADMINISTRAÇÃO — REGULAMENTA</w:t>
      </w:r>
    </w:p>
    <w:p/>
    <w:p>
      <w:pPr>
        <w:pStyle w:val="Heading2"/>
      </w:pPr>
      <w:r>
        <w:rPr>
          <w:b/>
          <w:bCs/>
        </w:rPr>
        <w:t xml:space="preserve">Ementa</w:t>
      </w:r>
    </w:p>
    <w:p>
      <w:r>
        <w:t xml:space="preserve">Seção VI Proprietários e Criadores de Cavalos de Corrida Art. 679. Estão sujeitos à incidência do imposto na fonte, à alíquota de quinze por cento, os prêmios pagos aos proprietários e criadores de cavalos de corrida (Lei nº 7.713, de 1988, art. 32, § 1º). Parágrafo único. O imposto será retido na data do pagamento ou crédito e será considerado (Lei nº 7.713, de 1988, art. 32, § 2º, Lei no 9.249, de 1995, art. 12, inciso V, e Lei nº 9.430, de 1996, arts. 1º, 2º, § 4º, inciso III, 25 e 27): I - antecipação do devido, quando o beneficiário for pessoa jurídica tributada com base no lucro real; II - devido exclusivamente na fonte, nos demais casos, inclusive se o beneficiário for pessoa física ou jurídica isenta. Seção VII Rendimentos Pagos a Pessoas Jurídicas por Sentença Judicial Art. 680. Estão sujeitas ao desconto do imposto na fonte, à alíquota de cinco por cento, as importâncias pagas às pessoas jurídicas a título de juros e de indenizações por lucros cessantes, decorrentes de sentença judicial (Lei nº 8.981, de 1995, art. 60, inciso I). Parágrafo único. O imposto descontado na forma deste artigo será deduzido do imposto devido no encerramento do período de apuração (Lei nº 8.981, de 1995, art. 60, parágrafo único). Seção VIII Multas por Rescisão de Contratos Art. 681. Estão sujeitas ao imposto na fonte, à alíquota de quinze por cento, as multas ou quaisquer outras vantagens pagas ou creditadas por pessoa jurídica, ainda que a título de indenização, a beneficiária pessoa física ou jurídica, inclusive isenta, em virtude de rescisão de contrato (Lei nº 9.430, de 1996, art. 70). § 1º A responsabilidade pela retenção e recolhimento do imposto é da pessoa jurídica que efetuar o pagamento ou crédito da multa ou vantagem (Lei nº 9.430, de 1996, art. 70, § 1º). § 2º O imposto deverá ser retido na data do pagamento ou crédito da multa ou vantagem e será recolhido no prazo a que se refere o inciso II do art. 865 (Lei nº 9 .430, de 1996, art. 70, § 2º). § 3º O valor da multa ou vantagem será (Lei nº 9.430, de 1996, art. 70, § 3º): I - computado na apuração da base de cálculo do imposto devido na declaração de ajuste anual da pessoa física; II - computado como receita, na determinação do lucro real; III - acrescido ao lucro presumido ou arbitrado, para determinação da base de cálculo do imposto devido pela pessoa jurídica. § 4º O imposto retido na fonte será considerado como antecipação do devido em cada período de apuração, nas hipóteses referidas no parágrafo anterior, ou como tributação definitiva, no caso de pessoa jurídica isenta (Lei nº 9.430, de 1996, art. 70, § 4º). § 5º O disposto neste artigo não se aplica às indenizações pagas ou creditadas em conformidade com a legislação trabalhista e àquelas destinadas a reparar danos patrimoniais (Lei nº 9.430, de 1996, art. 70, § 5º). CAPÍTULO V RENDIMENTOS DE RESIDENTES OU DOMICILIADOS NO EXTERIOR Seção I Contribuintes Art. 682. Estão sujeitos ao imposto na fonte, de acordo com o disposto neste Capítulo, a renda e os proventos de qualquer natureza provenientes de fontes situadas no País, quando percebidos: I - pelas pessoas físicas ou jurídicas residentes ou domiciliadas no exterior (Decreto-Lei nº 5.844, de 1943, art. 97, alínea "a"); II - pelos residentes no País que estiverem ausentes no exterior por mais de doze meses, salvo os mencionados no art. 17 (Decreto-Lei nº 5.844, de 1943, art. 97, alínea "b"); III - pela pessoa física proveniente do exterior, com visto temporário, nos termos do § 1º do art. 19 (Decreto-Lei nº 5.844, de 1943, art. 97, alínea "c", e Lei nº 9.718, de 1998, art. 12); IV - pelos contribuintes que continuarem a perceber rendimentos produzidos no País, a partir da data em que for requerida a certidão, no caso previsto no art. 879 (Lei nº 3.470, de 1958, art. 17, § 3º). Art. 683. No caso de falecimento de domiciliado no exterior, o imposto será recolhido em nome do espólio até a homologação da partilha, sobrepartilha ou adjudicação dos bens. Art. 684. Os residentes ou domiciliados no exterior sujeitam-se às mesmas normas de tributação previstas para os residentes ou domiciliados no País, em relação aos (Lei nº 8.981, de 1995, art. 78): I - rendimentos decorrentes de aplicações financeiras de renda fixa; II - ganhos líquidos auferidos em operações realizadas em bolsas de valores, de mercadorias, de futuros e assemelhadas; III - rendimentos obtidos em aplicações em fundos de renda fixa e de renda variável e em clubes de investimento. Parágrafo único. Sujei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2026-07-28T00:00:31.719Z</dcterms:created>
  <dcterms:modified xsi:type="dcterms:W3CDTF">2026-07-28T00:00:31.719Z</dcterms:modified>
</cp:coreProperties>
</file>

<file path=docProps/custom.xml><?xml version="1.0" encoding="utf-8"?>
<Properties xmlns="http://schemas.openxmlformats.org/officeDocument/2006/custom-properties" xmlns:vt="http://schemas.openxmlformats.org/officeDocument/2006/docPropsVTypes"/>
</file>