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p>
      <w:r>
        <w:t xml:space="preserve">31. TRIBUTAÇÃO, FISCALIZAÇÃO, ARRECADAÇÃO E ADMINISTRAÇÃO — REGULAMENTA</w:t>
      </w:r>
    </w:p>
    <w:p/>
    <w:p>
      <w:pPr>
        <w:pStyle w:val="Heading2"/>
      </w:pPr>
      <w:r>
        <w:rPr>
          <w:b/>
          <w:bCs/>
        </w:rPr>
        <w:t xml:space="preserve">Ementa</w:t>
      </w:r>
    </w:p>
    <w:p>
      <w:r>
        <w:t xml:space="preserve">CAPÍTULO V COMPENSAÇÃO DE PERDAS Art. 757. Ressalvado o disposto no § 7º do artigo anterior, o Ministro de Estado da Fazenda está autorizado a permitir a compensação dos resultados apurados nas operações de que tratam os arts. 736, 737, 738, 739 e 756, definindo as condições para a sua realização (Lei nº 8.981, de 1995, art. 75). CAPÍTULO VI DAS OPERAÇÕES EM BOLSA OU FORA DE BOLSA Seção I Incidência Art. 758. Os ganhos líquidos auferidos por qualquer beneficiário, inclusive pessoa jurídica isenta, em operações realizadas nas bolsas de valores, de mercadorias, de futuros e assemelhadas, serão tributados à alíquota de dez por cento (Lei nº 8.981, de 1995, art. 72). § 1º São consideradas como assemelhadas às bolsas de que trata este artigo, as entidades cujo objeto social seja análogo ao das referidas bolsas e que funcionem sob a supervisão e fiscalização da CVM. § 2º O disposto neste artigo aplica-se também (Lei nº 8.981, de 1995, art. 72, e Lei nº 9.430, de 1996, art. 71): I - aos ganhos líquidos auferidos por qualquer beneficiário na alienação de ouro, ativo financeiro, fora de bolsa; II - aos ganhos líquidos auferidos por qualquer beneficiário em operações realizadas em mercados de liquidação futura, com qualquer ativo, fora de bolsa; III - aos ganhos líquidos auferidos por qualquer beneficiário pelas pessoas jurídicas na alienação de participações societárias, fora de bolsa. § 3º O disposto neste artigo não se aplica às operações conjugadas de que trata o inciso I do art. 730, e às operações com ouro, ativo financeiro, previstas no art. 734, cujos rendimentos são tributados de acordo com as regras aplicáveis às operações de renda fixa. § 4º O Ministro de Estado da Fazenda poderá estabelecer condições para o reconhecimento de perdas apuradas nas operações realizadas em mercado de liquidação futura, fora de bolsa (Lei nº 9.430, de 1996, art. 71, § 2º). § 5º O imposto apurado na forma deste Capítulo deverá ser pago nos prazos previstos nos arts. 852 e 859, conforme o caso. Ouro, Ativo Financeiro Art. 759. O ouro em qualquer estado de pureza, em bruto ou refinado, quando destinado ao mercado financeiro ou à execução da política cambial do País, em operações realizadas com a interveniência de instituições integrantes do Sistema Financeiro Nacional, na forma e condições autorizadas pelo Banco Central do Brasil, será, desde a extração, inclusive, considerado ativo financeiro ou instrumento cambial (Lei nº 7.766, de 1989, art. 1º). Conceito de Ganho Líquido Art. 760. Considera-se ganho líquido o resultado positivo auferido nas operações realizadas em cada mês, admitida a dedução dos custos e despesas incorridos, necessários à realização das operações, e a compensação de perdas apuradas nas operações de que tratam os arts. 761, 764, 765 e 766, ressalvado o disposto no art. 767 (Lei nº 7.713, de 1988, art. 40, § 1º, e Lei nº 7.799, de 1989, art. 55, §§ 1º e 7º). § 1º As perdas apuradas nas operações de que trata este Capítulo poderão ser compensadas com os ganhos líquidos auferidos nos meses subseqüentes, em operações da mesma natureza (Lei nº 8.981, de 1995, art. 72, § 4º). § 2º As deduções de despesas, bem como a compensação de perdas previstas neste Capítulo, serão admitidas exclusivamente para as operações realizadas nos mercados organizados, geridos ou sob a responsabilidade de instituição credenciada pelo Poder Executivo e com objetivos semelhantes ao das bolsas de valores, de mercadorias ou de futuros (Lei nº 8.383, de 1991, art. 27). Seção II Mercados à Vista Art. 761. Nos mercados à vista, o ganho líquido será constituído pela diferença positiva entre o valor de alienação do ativo e o seu custo de aquisição (Lei nº 7.799, de 1989, art. 55, § 2º, alínea "a", e Lei nº 8.541, de 1992, art. 29, § 2º, alínea "a"). Custo de Aquisição Art. 762. Os custos de aquisição dos ativos objeto das operações de que trata o artigo anterior serão considerados pela média ponderada dos custos unitários (Lei nº 8.981, de 1995, art. 72, § 2º). § 1º Quando se tratar de participações societárias resultantes de aumento de capital por incorporação de lucros e reservas, apurados no ano-calendário de 1993, e a partir de 1º de janeiro de 1996, o custo de aquisição é igual à parcela do lucro ou reserva capitalizados que corresponder ao acionista beneficiário (Lei nº 8.383, de 1991, art. 75, e Lei nº 9.249, de 1995, art. 10, parágrafo único). § 2º Na ausência do valor pago, o custo de aquisição será, conforme o caso (Lei nº 7.713, de 1988, art. 16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2026-07-27T23:29:01.633Z</dcterms:created>
  <dcterms:modified xsi:type="dcterms:W3CDTF">2026-07-27T23:29:01.633Z</dcterms:modified>
</cp:coreProperties>
</file>

<file path=docProps/custom.xml><?xml version="1.0" encoding="utf-8"?>
<Properties xmlns="http://schemas.openxmlformats.org/officeDocument/2006/custom-properties" xmlns:vt="http://schemas.openxmlformats.org/officeDocument/2006/docPropsVTypes"/>
</file>