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IMPOSTO DE RENDA</w:t>
      </w:r>
    </w:p>
    <w:p>
      <w:r>
        <w:rPr>
          <w:i/>
          <w:iCs/>
          <w:color w:val="666666"/>
        </w:rPr>
        <w:t xml:space="preserve">REMESSA DE JUROS PARA O EXTERIOR</w:t>
      </w:r>
    </w:p>
    <w:p/>
    <w:p/>
    <w:p>
      <w:r>
        <w:t xml:space="preserve">34. TRIBUTAÇÃO, FISCALIZAÇÃO, ARRECADAÇÃO E ADMINISTRAÇÃO — REGULAMENTA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Subseção III Sinais Exteriores de Riqueza Art. 846. O lançamento de ofício, além dos casos especificados neste Capítulo, far-se-á arbitrando-se os rendimentos com base na renda presumida, mediante utilização dos sinais exteriores de riqueza (Lei nº 8.021, de 1990, art. 6º). § 1º Considera-se sinal exterior de riqueza a realização de gastos incompatíveis com a renda disponível do contribuinte (Lei nº 8.021, de 1990, art. 6º, § 1º). § 2º Constitui renda disponível, para os efeitos de que trata o parágrafo anterior, a receita auferida pelo contribuinte, diminuída das deduções admitidas neste Decreto, e do imposto de renda pago pelo contribuinte (Lei nº 8.021, de 1990, art. 6º, § 2º). § 3º Ocorrendo a hipótese prevista neste artigo, o contribuinte será notificado para o devido procedimento fiscal de arbitramento (Lei nº 8.021, de 1990, art. 6º, § 3º). § 4º No arbitramento tomar-se-ão como base os preços de mercado vigentes à época da ocorrência dos fatos ou eventos, podendo, para tanto, ser adotados índices ou indicadores econômicos oficiais ou publicações técnicas especializadas (Lei nº 8.021, de 1990, art. 6º, § 4º). Posse ou Propriedade de Bens como Indício de Sinal Exterior de Riqueza Art. 847. O contribuinte que detiver a posse ou propriedade de bens que, por sua natureza, revelem sinais exteriores de riqueza, deverá comprovar, mediante documentação hábil e idônea, os gastos realizados a título de despesas com tributos, guarda, manutenção, conservação e demais gastos indispensáveis à utilização desses bens (Lei nº 8.846, de 1994, art. 9º). § 1º Consideram-se bens representativos de sinais exteriores de riqueza, para os efeitos deste artigo, automóveis, iates, imóveis, cavalos de raça, aeronaves e outros bens que demandem gastos para sua utilização (Lei nº 8.846, de 1994, art. 9º, § 1º). § 2º A falta de comprovação dos gastos a que se refere este artigo, ou a verificação de indícios de realização de gastos não comprovado s, autorizará o arbitramento dos dispêndios em valor equivalente até dez por cento do valor de mercado do respectivo bem, observada necessariamente a sua natureza, para cobertura de despesas realizadas durante cada ano-calendário em que o contribuinte tenha detido a sua posse ou propriedade (Lei nº 8.846, de 1994, art. 9º, § 2º). § 3º O valor arbitrado na forma do parágrafo anterior, deduzido dos gastos efetivamente comprovados, será considerado renda presumida nos anos-calendário relativos ao arbitramento (Lei nº 8.846, de 1994, art. 9º, § 3º). § 4º A diferença positiva, apurada entre a renda arbitrada e a renda disponível declarada pelo contribuinte, será considerada omissão de rendimentos e comporá a base de cálculo mensal do imposto de renda da pessoa física (Lei nº 8.846, de 1994, art. 9º, § 4º). § 5º No caso de pessoa jurídica, a diferença positiva entre a renda arbitrada e os gastos efetivamente comprovados, será tributada na forma do art. 288 (Lei nº 8.846, de 1994, art. 9º, § 5º, e Lei nº 9.249, de 1995, art. 24). § 6º No arbitramento, tomar-se-ão como base os preços de mercado vigentes em qualquer mês do ano-calendário a que se referir o arbitramento (Lei nº 8.846, de 1994, art. 9º, § 6º). § 7º O Poder Executivo poderá baixar tabela dos limites percentuais máximos relativos a cada um dos bens ou atividades evidenciadoras de sinais exteriores de riqueza, observados os critérios estabelecidos neste artigo (Lei nº 8.846, de 1994, art. 9º, § 7º). Subseção IV Falta de Emissão de Documentos Fiscais Art. 848. Far-se-á o lançamento de ofício no caso de omissão de receita, de rendimento ou ganho de capital, caracterizada pela falta de emissão dos documentos de que tratam os arts. 46, 51 e 283, no momento da efetivação das operações, bem como sua emissão com valor inferior ao efetivamente pago (Lei nº 8.846, de 1994, art. 2º). Subseção V Depósitos Bancários Art. 849. Caracterizam-se também como omissão de receita ou de rendimento, sujeitos a lançamento de ofício, os valores creditados em conta de depósito ou de investimento mantida junto a instituição financeira, em relação aos quais a pessoa física ou jurídica, regularmente intimada, não comprove, mediante documentação hábil ou idônea, a origem dos recursos utilizados nessas operações (Lei nº 9.430, de 1996, art. 42). § 1º Em relação ao disposto neste artigo, observar-se-ão (Lei nº 9.430, de 1996, art. 42, §§ 1º e 2º): I - o valor das receitas ou dos rendimentos omitido será considerado auferido ou recebido no mês do crédito efetuado pela instituiçã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2026-07-28T00:25:18.981Z</dcterms:created>
  <dcterms:modified xsi:type="dcterms:W3CDTF">2026-07-28T00:25:18.981Z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