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REMESSA DE JUROS PARA O EXTERIOR</w:t>
      </w:r>
    </w:p>
    <w:p/>
    <w:p>
      <w:r>
        <w:rPr>
          <w:b/>
          <w:bCs/>
        </w:rPr>
        <w:t xml:space="preserve">Recurso: </w:t>
      </w:r>
      <w:r>
        <w:t xml:space="preserve">re 1</w:t>
      </w:r>
    </w:p>
    <w:p/>
    <w:p>
      <w:r>
        <w:t xml:space="preserve">37. TRIBUTAÇÃO, FISCALIZAÇÃO, ARRECADAÇÃO E ADMINISTRAÇÃO — REGULAMENTA</w:t>
      </w:r>
    </w:p>
    <w:p/>
    <w:p>
      <w:pPr>
        <w:pStyle w:val="Heading2"/>
      </w:pPr>
      <w:r>
        <w:rPr>
          <w:b/>
          <w:bCs/>
        </w:rPr>
        <w:t xml:space="preserve">Ementa</w:t>
      </w:r>
    </w:p>
    <w:p>
      <w:r>
        <w:t xml:space="preserve">CAPÍTULO II OBRIGATORIEDADE DE PRESTAR INFORMAÇÕES Seção I Prestação de Informações à Secretaria da Receita Federal Subseção I Disposições Gerais Art. 927. Todas as pessoas físicas ou jurídicas, contribuintes ou não, são obrigadas a prestar as informações e os esclarecimentos exigidos pelos Auditores-Fiscais do Tesouro Nacional no exercício de suas funções, sendo as declarações tomadas por termo e assinadas pelo declarante (Lei nº 2.354, de 1954, art. 7º). Art. 928. Nenhuma pessoa física ou jurídica, contribuinte ou não, poderá eximir-se de fornecer, nos prazos marcados, as informações ou esclarecimentos solicitados pelos órgãos da Secretaria da Receita Federal (Decreto-Lei nº 5.844, de 1943, art. 123, Decreto-Lei nº 1.718, de 27 de novembro de 1979, art. 2º, e Lei nº 5.172, de 1966, art. 197). § 1º O disposto neste artigo aplica-se, também, aos Tabeliães e Oficiais de Registro, às empresas corretoras, ao Instituto Nacional da Propriedade Industrial, às Juntas Comerciais ou repartições e autoridades que as substituírem, às caixas de assistência, às associações e organizações sindicais, às companhias de seguros e às demais pessoas, entidades ou empresas que possam, por qualquer forma, esclarecer situações de interesse para a fiscalização do imposto (Decreto-Lei nº 1.718, de 1979, art. 2º). § 2º Se as exigências não forem atendidas, a autoridade fiscal competente cientificará desde logo o infrator da multa que lhe foi imposta (art. 968), fixando novo prazo para o cumprimento da exigência (Decreto-Lei nº 5.844, de 1943, art. 123, § 1º). § 3º Se as exigências forem novamente desatendidas, o infrator ficará sujeito à penalidade máxima, além de outras medidas legais (Decreto-Lei nº 5.844, de 1943, art. 123, § 2º). § 4º Na hipótese prevista no parágrafo anterior, a autoridade fiscal competente designará funcionário para colher a informação de que necessitar (Decreto-Lei nº 5.844, de 1943, art. 123, § 3º). § 5º Em casos especia is, para controle da arrecadação ou revisão de declaração de rendimentos, poderá o órgão competente exigir informações periódicas, em formulário padronizado (Decreto-Lei nº 1.718, de 1979, art. 2º, parágrafo único). Art. 929. As pessoas físicas ou jurídicas são obrigadas a prestar aos órgãos da Secretaria da Receita Federal, no prazo legal, informações sobre os rendimentos que pagaram ou creditaram no ano-calendário anterior, por si ou como representantes de terceiros, com indicação da natureza das respectivas importâncias, do nome, endereço e número de inscrição no CPF ou no CNPJ, das pessoas que o receberam, bem como o imposto de renda retido da fonte (Decreto-Lei nº 1.968, de 1982, art. 11, e Decreto-Lei nº 2.065, de 1983, art. 10). § 1º São obrigadas a prestar informações nos termos deste artigo: I - as caixas, associações e organizações sindicais de empregados e de empregadores que interfiram no pagamento de remuneração a trabalhadores que prestem serviços a diversas empresas, agrupados ou não em sindicato, inclusive estivadores, conferentes e assemelhados (Lei nº 3.807, de 26 de agosto de 1960, art. 4º, alínea "c", e Lei nº 4.357, de 1964, art. 16, parágrafo único); II - as empresas de administração predial, sobre os aluguéis recebidos por conta de seus clientes, com indicação de nome e endereço dos mesmos e das importâncias discriminadas por unidade imobiliária (Decreto-Lei nº 5.844, de 1943, art. 111, alínea "c"). § 2º Deverão ser informados, de acordo com este artigo, os ordenados, gratificações, bonificações, interesses, comissões, honorários, percentagens, juros, dividendos, lucros, aluguéis e quaisquer outros rendimentos (Decreto-Lei nº 5.844, de 1943, art. 108, § 1º). § 3º A informação deverá abranger as importâncias em dinheiro pagas para custeio de viagem e estada, no exercício da profissão, bem como as quotas para constituição de fundos de beneficência (Decreto-Lei nº 5.844, de 1943, art. 108, § 2º). § 4º Salvo qua nto a juros, dividendos, lucros e aluguéis, não serão prestadas informações sobre rendimentos pagos, quando as respectivas importâncias não excederem mensalmente o valor do limite de isenção previsto na tabela mensal do imposto (art. 620), desde que as pessoas que os tiverem recebido não tenham percebido rendimentos de outras fontes (Lei nº 2.354, de 1954, art. 31). § 5º Ignorando o informante se houve pagamento por outras fontes, deve prestar informações sobre os rendimentos que pagou (Decreto-Lei nº 5.844, de 1943, art. 108, § 4º). § 6º Quando os rendimentos se referirem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2026-07-28T00:21:03.746Z</dcterms:created>
  <dcterms:modified xsi:type="dcterms:W3CDTF">2026-07-28T00:21:03.746Z</dcterms:modified>
</cp:coreProperties>
</file>

<file path=docProps/custom.xml><?xml version="1.0" encoding="utf-8"?>
<Properties xmlns="http://schemas.openxmlformats.org/officeDocument/2006/custom-properties" xmlns:vt="http://schemas.openxmlformats.org/officeDocument/2006/docPropsVTypes"/>
</file>