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TRÂNSITO BRASILEIRO</w:t>
      </w:r>
    </w:p>
    <w:p>
      <w:r>
        <w:rPr>
          <w:i/>
          <w:iCs/>
          <w:color w:val="666666"/>
        </w:rPr>
        <w:t xml:space="preserve">LEI 9.503 DE 23-09-1997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REQUISITOS — PRÉVIA NOTIFICAÇÃO - PRINCÍPIO DA AMPLA DEFESA E DO CONTRADITÓRIO - OBSERVÂNCIA - APLICAÇÃO ANALÓGICA DA SÚMULA 127 DO STJ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 pela alínea "a" do permissivo constitucional, uma vez que a matéria foi devidamente prequestionada. - Trata-se de ação mandamental na qual o impetrante pretende o reconhecimento da nulidade da penalidade de trânsito aplicada, bem como a decretação da nulidade dos atos administrativos resultantes, sob a alegação de que apenas foi notificado, para a defesa, no momento da infração, faltando a notificação da aplicação da penalidade. - Ressalta inequívoco do CTB que a autoridade de trânsito, que antes de julgar o auto de infração, seja qual for a penalidade a ser em tese aplicada, não conceder ao autuado oportunidade de defesa, viola direito líquido e certo deste, amparável por mandado de segurança. É que o atual Código Brasileiro de Trânsito ( Lei 9.503/97), embora não seja específico no ponto, assim como não o era o anterior Código Nacional de Trânsito (Lei 5.106/66), reconhece esse direito, de modo implícito, ao concede-lo em outras situações, como a dos arts. 257, § 7º, e 265. Deveras, se todas são penalidades, como assenta o art. 256, não é lógico conceder direito de defesa só em relação a algumas. Ainda que assim não bastasse, forçoso reconhecer que o direito de defesa, inclusive no âmbito administrativo, vem garantido pelo art. 5º, LV da CF. Por isso, a Resolução 568/80, do CONTRAN, foi recepcionada pelo atual CTB, conforme admite o art. 314, parágrafo único, do CTB. - Aliás, nem poderia ser di ferente. Isto porque, dentre os princípios que se destacam no procedimento administrativo, reluz o da "garantia de defesa". - Preleciona a acatada doutrina de HELY LOPES MEIRELLES: "O princípio da garantia de defesa, entre nós, está assegurado no inc. LV do art. 5º da CF, juntamente com a obrigatoriedade do contraditório, como decorrência do devido processo legal ( CF, art. 5º, LIV), que tem origem no due process of law do Direito anglo-norte-americano. Por garantia de defesa deve-se entender não só a observância do rito adequado como a cientificação do processo ao interessado, a oportunidade para contestar a acusação, produzir prova de seu direito, acompanhar os atos da instrução e utilizar-se dos recursos cabíveis. Daí a justa observação de GORDILLO de que: "El principio constitucional de la defensa en juicio, en el debido proceso, es por supuesto aplicable en el procedimiento administrativo, y com criterio amplio, no restrictivo". O que coincide com esta advertência de FREDERICO MARQUES: "Se o poder administrativo, no exercício de suas atividades, vai criar limitações patrimoniais imediatas ao administrado, inadmissível seria que assim autuasse fora das fronteiras do "due process of law". Se o contrário fosse permitido, ter-se-ia de concluir que será lícito atingir alguém em sua fazenda ou bens, sem o devido processo legal". E remata o mesmo jurista: " Isto posto, evidente se torna que a Administração Pública, ainda que exercendo seus poderes de autotutela, não tem o direito de impor aos administrados gravames e sanções que atinjam, direta ou indiretamente, seu patrimônio sem ouvi-los adequadamente, preservando-lhes o direito de defesa". - Em respaldo às ilações doutrinárias, posiciona-se a jurisprudência nos seguintes arestos: "STF, RDA 73/136, 97/110, 114/142, 118/99; TFR, RTFR 34/140; RDA 38/254; TJMG, RDP 20/245; TJSP, RDA 45/123, 54/364; RT 261/365, 321/260; 1ª TASP, RT 257/483, 260/563, 270/632, 345/352". - A conclusão pela ocorrência da dupla notificação obedece mesmo a uma análise histórico-teleológica da legislação pertinente. - Forçoso, relembrar que no vetusto CNT estabeleciam os artigos 112 e 116 (Lei 5.108/66) que as autuações por infração de trânsito eram "julgadas" pela autoridade competente para "aplicação" de penalidade. Dessa decisão era cabível recurso, no prazo de trinta dias, à Junta Administrativa de Recursos de Infrações (JARI), sem efeito suspensivo, e, por conseguinte, havia depósito do valor da multa, quando fosse o caso. Uma vez não julgado, por motivo de força maior, no prazo de trinta dias, a autoridade competente para fazê-lo podia, de ofício, ou a pedido, agregar efeito suspensivo ao recurso. Iguais normas dispunham os arts. 112 a 116 o Regulamento, aprovado pelo Decreto 62.127/68. - Deveras, o CONTRAN, consolidando e unificando diversos regramentos administrativos, valendo-se de atribuições legais, editou a Resolução 568/80, que disciplinou, pormenorizadamente, o procedimento a respeito das autuações de trânsito, estabelecendo no art. 2º: "Com o recebimento do Auto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sistema de imputação de sanção pelo Código de Trânsito Brasileiro (Lei n.º 9.503/97) prevê duas notificações a saber: a primeira referente ao cometimento da infração e a segunda inerente à penalidade aplicada, desde que superada a fase da defesa quanto ao cometimento, em si, do ilícito administrativo. Similitude com o processo judicial, por isso que ao imputado concede-se a garantia de defesa antes da imposição da sanção, sem prejuízo da possibilidade de revisão desta.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2026-09-10T22:44:41.342Z</dcterms:created>
  <dcterms:modified xsi:type="dcterms:W3CDTF">2026-09-10T22:44:41.342Z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