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TRÂNSITO BRASILEIRO</w:t>
      </w:r>
    </w:p>
    <w:p>
      <w:r>
        <w:rPr>
          <w:i/>
          <w:iCs/>
          <w:color w:val="666666"/>
        </w:rPr>
        <w:t xml:space="preserve">LEI 9.503 DE 23-09-1997</w:t>
      </w:r>
    </w:p>
    <w:p/>
    <w:p/>
    <w:p>
      <w:r>
        <w:t xml:space="preserve">ALIENAÇÃO DO SEGUNDO IMÓVEL APÓS VENCIDA A DÍVIDA — SE TORNA PENHORÁVEL O IMÓVEL RESIDENCIAL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Duas são as questões repostas neste especial: a falta de liquidez do título e a possibilidade da penhora do imóvel residencial do devedor. - A primeira sustentação do recorrente não pode ser acolhida. Trata-se de execução de nota promissória emitida em razão de contrato bancário de desconto, com imediata liberação do numerário em favor da empresa emitente dos títulos dados em caução. Segundo consta, houve a transferência do numerário, e nenhum elemento de prova permite alguma dúvida sobre o fato. - Portanto, não é o caso da nota promissória dada em garantia de contrato de abertura de crédito, mas de cambial criada em razão de empréstimo de quantia certa definida no contrato. - Como o avalista também assinou o contrato, as parcelas ali previstas igualmente podem servir ao cálculo da dívida executada contra ele. - No que diz com a impenhorabilidade do bem, o recorrente tem razão. O outro imóvel foi excluído da penhora porque a alienação se dera sem fraude de execução, conforme reconhecido pela egrégia Câmara, que citou inclusive precedente desta Turma, de lavra do eminente Ministro-Presidente. Na verdade, os adquirentes desconheciam a existência do processo de execução ao tempo em que celebraram o negócio. - Isso só por si não significa que o vendedor (avalista-devedor e ora executado) não soubesse da existência do débito por ele garantido. Porém, esse conhecimento não é bastante para excluir a proteção legal dada à família do devedor. Não está na lei a regra de que, tendo o morador se tornado insolvente, com a alienação dos demais bens, a residência torna-se penhorável. - Posto isso, conheço em parte do recurso, pela alínea a, e dou-lhe provimento, para excluir da penhora o imóvel residencial do recorrente. - É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devedor ter alienado o outro bem depois de vencida a dívida de que era avalista, não torna penhorável o imóvel onde reside.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2026-06-17T14:06:13.824Z</dcterms:created>
  <dcterms:modified xsi:type="dcterms:W3CDTF">2026-06-17T14:06:13.824Z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