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>
      <w:r>
        <w:rPr>
          <w:b/>
          <w:bCs/>
        </w:rPr>
        <w:t xml:space="preserve">Recurso: </w:t>
      </w:r>
      <w:r>
        <w:t xml:space="preserve">REsp 197.761-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/>
    <w:p>
      <w:r>
        <w:t xml:space="preserve">CONCESSÃO AOS SEUS COOPERADOS — EMPREGO DA TR - PACTUAÇÃO NO CONTRATO - CAPITALIZAÇÃO MENSAL DOS JUROS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não há falar em afronta aos arts. 165, 458, II e III, e 535, I e II, do CPC, pois o Tribunal de origem dirimiu as questões relevantes à solução do litígio, inclusive aquela concernente à limitação da taxa de juros. Inexiste, assim, a alegada negativa de prestação jurisdicional: "não é exigível que o Acórdão aprecie, um a um, os argumentos expendidos pela parte, quando já tenha encontrado motivo suficiente para decidir a causa" (REsp 197.761-PR, por mim relatado). - O próprio recorrente admite que a cooperativa pode conceder financiamento rural a seus cooperados, havendo ele invocado um precedente desta Turma nesse sentido (REsp 75.860/RS, Rel. Min. Sálvio de Figueiredo Teixeira). - Entende, porém, que a embargada não juntou a autorização para operar no sistema de crédito rural. Ora, a par de não ter o embargante cogitado de tal aspecto quando avençou o financiamento, a autorização requerida deflui nitidamente dos termos da lei, bastando que se confiram os textos dos arts. 2º e 7º, § 1º, II, "e", da Lei 4.829/65; 1º e parágrafo único, do Dec.-lei 167/67; e 92, I, da Lei 5.764/71. - Quanto à adoção da TR como fator de atualização monetária, também não assiste razão ao recorrente. - É entendimento pacífico de ambas as Turmas que compõem a 2ª Seção desta Corte que, "pactuada correção monetária vinculada à variação da caderneta de poupança e, por conseqüência, a TR, não pode ela ser alterada", sendo "defeso ao Judiciário intervir diretamente na vontade das partes sob o fundamento de não ser o critério escolhido o melhor para refletir a correção monetária" (REsp 150.833-RS, sob a relatoria do Min. Sálvio de Figueiredo Teixeira). - Dentre os inúmeros precedentes nesse mesmo sentido, destaco os REsp's 152.167-MS, relatado pelo Min. Nilson Naves; 158.162-SP, relatado pelo Min. César Asfor Rocha; e 155.602-MS, relatado pelo Min. Eduardo Ribeiro. - Em suma, segundo a jurisprudência desta Casa, não há óbice a que a TR seja avençada pelas partes como fator de atualização monetária. E, desde que ajustada, deve prevalecer. - No caso, as partes pactuaram a atualização monetária com base no referido indexador, conforme resulta inclusive da afirmação contida pela sentença e pelo Acórdão ora hostilizado. Inocorre ai ínfração à lei, nem tampouco é suscetível de perfectibilização o dissídio de julgados (súmula 83-STJ). - Tocante à capitalização mensal dos juros também não colhe o REsp. - Tem sido ela admitida por este Tribunal, desde que convencionada de forma expressa (Súmula 93). - Na espécie, o V. Acórdão é claro ao admitir que deve ser respeitado o contrato, inferindo-se daí que a capitalização mensal dos juros restou explicitamente pactuada (cfr. fls.). - Apenas no que tange à elevação da taxa de juros para a hipótese de inadimplência é que assiste ao ora recursante. - A jurisprudência desta Casa é hoje remansosa no sentido de que, na hipótese de mora do devedor, a elevação da taxa de juros não pode exceder a 1% ao ano. Prevalece no ponto a norma específica do art. 5º, parágrafo único, do Dec.-lei 167/67. Esta orientação surgiu com o "leading case" havido quando da apreciação do REsp 28.907-9/RS, de que foi relator o em. Min. Sálvio de Figueiredo Teixeira, do qual se colhe o seguinte excerto: "Aliás, em relação ao tema, é de considerar-se que os juros remuneratórios são invariáveis, esteja ou não em mora o devedor. Referidos juros, como a própria designação sugere, são remuneração do capital mutuado pelo tempo que o mutuário dele dispuser. Irrelevante, pois, o vencimento do contrato de mútuo. Pelo tempo que o devedor utilizar o dinheiro, vencido ou não o contrato, pagará o rendimento que presumidamente o capital produziria se estivesse disponível, rendimento esse inalterável em função de eventual inadimplemento. Desse jaez são, inclusive, os juros da caderneta de poupança, de 0,5% ao mês. Já os juros moratórios, estes sim, têm caráter de sanção pelo não pagamento no termo devido. E, no mútuo rural, são por lei limitados a 1% ao ano. Assim, cláusula que preveja a majoração dos juros remuneratórios em caso de inadimplemento é cláusula que visa a burlar a disciplina legal, fazendo incidir, sob as vestes de juros remuneratórios, autênticos juros moratórios em níveis superiores aos permitidos". - Assim, é certo que incide no caso a norma referida do art. 5º, parágrafo único, do Dec.-lei 167/67, razão pela qual é permitido ao credor, nessa hipótese de mora do mutuário, elevar a taxa de juros constante da cédula em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cooperativa acha-se autorizada a conceder financiamento a seus cooperados, conforme deflui da lei (arts. 2º e 7º, § 1º, II, "e", da Lei 4.829/65; 1º e parágrafo único, do Dec.-lei 167/67; e 92, I, da Lei 5.764/71. - Estando pactuada a TR como fator de atualização monetária, deve ela prevalecer. - Possível a capitalização mensal dos juros pactuada, nos termos do art. 5º, "caput", do Dec.-lei 167, de 14/02/67, que excepciona a regra proibitória estabelecida na chamada Lei de Usura.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2026-09-10T23:22:45.210Z</dcterms:created>
  <dcterms:modified xsi:type="dcterms:W3CDTF">2026-09-10T23:22:45.210Z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