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OBRIGATÓRIO</w:t>
      </w:r>
    </w:p>
    <w:p>
      <w:r>
        <w:rPr>
          <w:i/>
          <w:iCs/>
          <w:color w:val="666666"/>
        </w:rPr>
        <w:t xml:space="preserve">AÇÃO DIRETA CONTRA O SEGURADOR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DECISÃO FEDERAL QUE EXCLUI CAIXA ECONÔMICA DO PROCESSO — QUANDO NÃO SE CARACTERIZA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No estado dos autos, não há conflito de competência, porque, excluída a participação da Caixa Econômica Federal, na ação de consignação em pagamento, essa decisão vincula o MM. Juiz de Direito, enquanto não reformada, através de recurso, pelo Tribunal Regional Federal. - Aqui nem se sabe se esse recurso foi interposto, - Voto, por isso, no sentido de não conhecer do conflito de competência. Ac. de 16-12-1997 DJ de 02-03-1998 (Reg. nº 1997/78058-9) Arquivo do EMFOR, STJ/N 4557 EMENTÁRIO FORENSE. Abril, 2003. Ano LV. Nº 653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Só o Juiz Federal tem competência para decidir se a Caixa Econômica Federal deve ou não participar do processo; a decisão que a exclui do processo vincula a Justiça Estadual, porque esta não pode dispor a respeito.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2026-06-17T20:54:57.658Z</dcterms:created>
  <dcterms:modified xsi:type="dcterms:W3CDTF">2026-06-17T20:54:57.658Z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