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/>
    <w:p>
      <w:r>
        <w:t xml:space="preserve">FEITO JÁ JULGADO PELA SEGUNDA INSTÂNCIA DA JUSTIÇA LOCAL — SE DESLOCA A COMPETÊNCIA PARA O TRIBUNAL FEDERAL DE RECURSOS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intervenção da União, em feito já julgado pela segunda instância e pendente de embargos, não desloca o processo para o Tribunal Federal de Recursos. Referência: CJ 3.931, de 17.04.68 (R.T.J. 47/73 - D.J. de 28.06.68). Sessão de 3-12-1969 DJ, 1969 - Dezembro - Pág. 5.949 - nº 235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2026-10-26T03:22:48.670Z</dcterms:created>
  <dcterms:modified xsi:type="dcterms:W3CDTF">2026-10-26T03:22:48.670Z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