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TRIBUNAL FEDERAL DE RECURSOS</w:t>
      </w:r>
    </w:p>
    <w:p/>
    <w:p/>
    <w:p>
      <w:r>
        <w:t xml:space="preserve">FEITO JÁ JULGADO PELA SEGUNDA INSTÂNCIA DA JUSTIÇA LOCAL — SE DESLOCA A COMPETÊNCIA PARA O TRIBUNAL FEDERAL DE RECURSOS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intervenção da União, em feito já julgado pela segunda instância e pendente de embargos, não desloca o processo para o Tribunal Federal de Recursos. Referência: CJ 3.931, de 17.04.68 (R.T.J. 47/73 - D.J. de 28.06.68). Sessão de 3-12-1969 DJ, 1969 - Dezembro - Pág. 5.949 - nº 235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2026-07-28T02:42:07.615Z</dcterms:created>
  <dcterms:modified xsi:type="dcterms:W3CDTF">2026-07-28T02:42:07.615Z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