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26/02/1985</w:t>
      </w:r>
    </w:p>
    <w:p/>
    <w:p>
      <w:r>
        <w:t xml:space="preserve">UNIÃO COMO ASSISTENTE — DESLOCAMENTO DA COMPETÊNCIA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comporta provimento." Ao ingressar em Juízo com pedido de admissão, como assistente da expropriante, a União Federal determinou, desde logo o deslocamento da competência para a Justiça Federal, de acordo com o disposto no art. 125, I, da C.F.. - PONTES DE MIRANDA em comentário ao mandamento constitucional, assim se expressa: "O art. 125, I, cogita das causas em que existem as figuras subjetivas do autor, do réu, do assistente e do opoente para dizer que, assumindo a União, nelas, qualquer dessas figuras, a competência é inelidível" ("Comentários à Constituição de 1967", t. IV/195, Ed. RT). - Por outro lado, bem observou o Magistrado prolator da r. decisão agravada, com base na "Súmula 61" (*) do TFR, que "para configurar a competência da Justiça Federal, é necessário que a União, entidade autárquica ou empresa pública federal, ao intervir como assistente, demonstre legítimo interesse jurídico no deslinde da demanda, não bastando a simples alegação no interesse da causa" (...). - Acontece, porém, que, na espécie vertente, não tem o Magistrado da Justiça estadual competência para examinar a existência ou não do legítimo interesse da União para intervir como assistente. De acordo com o dispositivo constitucional invocado e o magistério do insigne PONTES DE MIRANDA, intervindo no feito como assistente a União Federal, a competência da Justiça Federal é inafastável, mormente para dizer se o interesse existe ou não. - O deslocamento da competência da Justiça estadual para a Federal confere a esta e somente a ela atribuição para resolver sobre o legítimo interesse a que alude a "súmula" enunciada. - Em tal sentido, a jurisprudência do colendo STF colacionada pela agravante como se vê do acórdão..., no AI 89.977-4 (*) (rel. Min. OSCAR CORRÊA, 1ª T.), em 24-03-83 e que teve a seguinte ementa: "Competência - Assistência da União, expressamente declarada - Deslocamento para a competência da Justiça Federal". - Pelo exposto, dá-se provimento ao agravo, para remessa dos autos à Justiça Federal. Julgado em 27-02-1985 Revista dos Tribunais. Junho, 1985 - Vol. 596 - Pág. 94 (*) "Para configurar a competência da Justiça Federal, é necessário que a União, entidade autárquica ou empresa pública federal, ao intervir como assistente, demonstre legítimo interesse jurídico no deslinde da demanda, não bastando a simples alegação de interesse na causa." ("EMFOR", Nº 389, st. JUSTIÇA FEDERAL). (**) RT 586/253, Ement.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Intervindo a União Federal na ação como assistente, desloca-se a competência da Justiça estadual para a Federal, à qual compete resolver sobre o legítimo interesse ou não na intervenção.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2026-10-26T02:16:31.367Z</dcterms:created>
  <dcterms:modified xsi:type="dcterms:W3CDTF">2026-10-26T02:16:31.367Z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