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TAXA JUDICIÁRIA</w:t>
      </w:r>
    </w:p>
    <w:p/>
    <w:p/>
    <w:p>
      <w:r>
        <w:t xml:space="preserve">HABILITAÇÃO — DESOBRIGATORIEDADE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Parecer da Douta procuradoria de Justiça, a fls., cujo Relatório também se adota e que fica integrando o presente na forma regimental, cuida-se de agravo de instrumento tirado contra decisão que, em sede falimentar, não extinguiu o feito, determinando a venda antecipada dos bens integrantes do ativo da massa falida e instauração de inquérito judicial. - Informações a fls., sem contra-razões, conforme certidão de fls.. - Merece provimento o recurso. - Na verdade, equivocou-se o nobre julgador de primeiro grau, na medida em que entendeu se constituir em obrigatoriedade, a requerimento do síndico da massa, a instauração de inquérito judicial, com o fito de apurar eventuais responsabilidades, sem os procedimentos legais. - Por outro lado, os eventuais créditos da Fazenda Pública, não dispõem sua habilitação ao ativo da massa falimentar, a teor da lei 6.830/80, art. 4º, § 4º. - Daí o provimento do recurso, nos termos da inicial. Ac. de 14-11-2000 DJ de 24-11-2000 (Reg. nº 2000.002.08275) Arquivo do EMFOR, TJRJ/N 4771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na legislação falimentar (Decreto-lei nº 7.661/45, art. 103, § 1º) A obrigatoriedade da instauração de inquérito judicial, a requerimento do síndico, assim como, perante a lei de executivos fiscais (Lei nº 6.830/80), não se obriga a Fazenda Pública à habilitação de crédito para a cobrança de sua dívida 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2026-09-10T23:37:17.603Z</dcterms:created>
  <dcterms:modified xsi:type="dcterms:W3CDTF">2026-09-10T23:37:17.603Z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