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PAGAMENTO DO SEGURO</w:t>
      </w:r>
    </w:p>
    <w:p/>
    <w:p>
      <w:r>
        <w:rPr>
          <w:b/>
          <w:bCs/>
        </w:rPr>
        <w:t xml:space="preserve">Julgado em: </w:t>
      </w:r>
      <w:r>
        <w:t xml:space="preserve">11/12/1977</w:t>
      </w:r>
    </w:p>
    <w:p/>
    <w:p>
      <w:r>
        <w:t xml:space="preserve">INDAGAÇÃO — QUANDO É POSSÍVEL - NECESSIDADE DE PRODUÇÃO DE PROVA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 nossa jurisprudência tem admitido, em relação aos títulos cambiais, a indagação da "causa debendi" (veja-se RTJ 72/415). Ora, se isto é possível, necessário seria aqui permitir a produção de provas, pois somente através dela poder-se-ia chegar à causa subjacente e extra-cartular. Não permitindo, o acórdão, ao confirmar no particular a sentença, acabou por dissentir do julgado desta Corte trazido à colação. - Conheço, portanto, do recurso, pela letra "d", provendo-o, em parte, para o fim de anular o processo ..., permitindo ao devedor a produção de provas em audiência. Julgado em 12-12-1977 Revista Trimestral de Jurisprudência. Maio, 1978. Vol. 84 - Pág. 606 EMENTÁRIO FORENSE. Dezembro, 1978. Ano XXX. Nº 361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admissível a indagação da causa da cambial desde que travada a discussão entre as partes criadoras do título, torna-se mister permitir a produção de prova, se requerida, pois somente por seu intermédio poder-se-á chegar à causa subjacente e extra-cartular.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2026-07-28T01:43:54.103Z</dcterms:created>
  <dcterms:modified xsi:type="dcterms:W3CDTF">2026-07-28T01:43:54.103Z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