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Julgado em: </w:t>
      </w:r>
      <w:r>
        <w:t xml:space="preserve">06/10/1977</w:t>
      </w:r>
    </w:p>
    <w:p/>
    <w:p>
      <w:r>
        <w:t xml:space="preserve">DEMORA NO PAGAMENTO DA DIFERENÇA RESULTANTE DE ANTERIOR ATUALIZAÇÃO — NORMAS A SEREM OBSERVADAS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incensurável o decisório no que diz respeito à atualização dos cálculos. - O que se discute é a possibilidade de se excluir, na correção do saldo devedor da indenização, os juros, custas e honorários de advogado, como o fez o acórdão recorrido, adotando uma fórmula matemática, sem ofensa à coisa julgada. - Tenho para mim que tal não é possível. A justa indenização uma vez estabelecida e fixada, constitui a compensação devida ao expropriado, nos termos da lei e da jurisprudência desta Corte. - Havendo retardo no pagamento da indenização no todo ou em parte é devida a correção monetária. - Se o retardamento é apenas de parte do débito, este saldo deve ser corrigido, sem dedução de qualquer verba, pois a indenização fixada é una, e corresponde ao valor do bem expropriado. - Assim, se o saldo devedor de Cr$ 167.074,15 só foi depositado dezesseis meses depois, legítima era a sua atualização como feita ... e homologada. - A restrição estabelecida no acórdão recorrido, com a adoção de critério excludente de parcelas da indenização fixada como justa, a meu ver, importa em violação da coisa julgada... Julgado em 07-10-1977 Revista Trimestral de Jurisprudência. Fevereiro, 1978 - Vol. 83 - Pág. 609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lícita a atualização complementar do cálculo, quando há demora no pagamento da diferença resultante de anterior atualização. - Não é lícito excluir, nesta atualização, parcelas compreendidas no total da indenização fixada como justa, e depositada com atraso.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2026-07-28T00:11:19.814Z</dcterms:created>
  <dcterms:modified xsi:type="dcterms:W3CDTF">2026-07-28T00:11:19.814Z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