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14/06/1976</w:t>
      </w:r>
    </w:p>
    <w:p/>
    <w:p>
      <w:r>
        <w:t xml:space="preserve">NOTIFICAÇÃO PRÉVIA — FALTA - QUANDO SE CARACTERIZA O ESBULHO POSSESSÓRIO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negou o aresto impugnado que fosse lícita a ocupação do terreno não edificado para a realização de obras necessárias à concretização do túnel extravasor de águas, em terreno vizinho. - O que afirmou é que à ocupação era mister, pelo menos, deveria preceder à notificação dos recorridos, pois, é por ela que poderiam exigir, se o entendessem, a prestação da caução, expressamente assegurada pelo citado art. 36, "in fine". - Não realizada a notificação, como conheceu o julgado, nem comprovada razão aceitável para delas se eximir, a ocupação pelo recorrente, caracterizou-se o esbulho possessório, justificando a reintegração e conseqüente condenação em perdas e danos. - Aplicou, pois, o julgado, pontualmente, não só o referido art. 36, como os arts. 371 e 374 do Código de Processo Civil de 1939, correspondentes aos arts. 927 e 925 do vigente. - Esta é, de resto, a lição dos autores. Aos invocados pelo aresto, outros poderiam ser argüidos, alguns franceses e italianos, invocados por CRETELA JUNIOR - Comentários às Leis de Desapropriações, 1972, p. 377/82. - Cabe acrescentar, para dirimir imprecisões, que acaso procedida a notificação dos proprietários ou justificada sua impossibilidade, ou a ocorrência de perigo público iminente, quando poderia ser protraída, a ocupação temporária, verdadeira servidão administrativa - se revestiria de absoluta legalidade. - É que o direito de propriedade não é absoluto, mas, sujeito às restrições impostas pela própria Constituição, a qual, em seu art. 153, § 22, o estabelece, fazendo prevalecer o interesse público ao particular, ao qual assegura, apenas, a indenização nos termos da lei, no caso o Decreto-lei nº 3.365, de 1941, art. 36. - É o meu voto. Julgado em 15-06-1976 Revista Trimestral de Jurisprudência. Maio, 1978 - Vol. 84 - Pág. 592 EMENTÁRIO FORENSE. Dezembro, 1978. Ano XXX. Nº 361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artigos 36 do Decreto-lei nº 3.365/1941, combinado com 371 e 374 do Código de Processo Civil de 1939 (artigos 927 e 925, do Código de Processo Civil de 1973). - Não precedida, a ocupação temporária, de notificação, nem justificada sua omissão, condição imposta pela lei para que o proprietário possa exigir caução, se considerada necessária, caracteriza-se o esbulho possessório, reparável pela reintegratória e conseqüente indenização em perdas e danos.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2026-06-17T14:03:40.271Z</dcterms:created>
  <dcterms:modified xsi:type="dcterms:W3CDTF">2026-06-17T14:03:40.271Z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