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99.796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Eduardo Ribeiro</w:t>
      </w:r>
    </w:p>
    <w:p>
      <w:r>
        <w:rPr>
          <w:b/>
          <w:bCs/>
        </w:rPr>
        <w:t xml:space="preserve">Julgado em: </w:t>
      </w:r>
      <w:r>
        <w:t xml:space="preserve">15/06/1999</w:t>
      </w:r>
    </w:p>
    <w:p/>
    <w:p>
      <w:r>
        <w:t xml:space="preserve">QUESTÃO FEDERAL — FALTA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alegada omissão, razão assiste ao embargante, de vez que a matéria posta nos presentes embargos de declaração, e, constante do recurso especial, não foi decidida no acórdão embargado. - Com efeito, a matéria inserta nos artigos 512 e 515 do Código de Processo Civil, referente à ocorrência de "reformatio in pejus", não está prequestionada, pois, consoante entendimento desta Corte, ainda que a questão federal surja no julgamento do acórdão recorrido, indispensável a interposição de embargos declaratórios (ERESP 99.796, Rel. Ministro Eduardo Ribeiro), o que não foi feito na espécie. Ausente o prequestionamento, incide a censura das Súmulas 282 e 356 do STF. - Este, aliás, o mais recente entendimento desta Corte, noticiado no Informativo de Jurisprudência do STJ nº 23: "A Corte Especial, por maioria, julgou necessária a interposição de embargos declaratórios, mesmo quando a questão federal surge no julgamento perante a corte de origem, sob pena de a omissão inviabilizar o conhecimento do recurso especial, por falta de prequestionamento. Precedente citado: Eresp 8.285, DJ 09/11/1998. Eresp 99.796-SP, Rel. Min. Eduardo Ribeiro, julgado em 16/6/1999." - Na espécie, não houve oposição de embargos de declaração imprescindíveis ao prequestionamento, não sendo, pois, a matéria suscetível de apreciação por esta Corte. - Pelo exposto, rejeito os embargos de declaração. Ac. de 24-09-2002 DJ de 14-10-2002 Arquivo do EMFOR, STJ/N 4835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mais recente pronunciamento da Corte Especial deste Tribunal, ainda que a questão federal surja no acórdão recorrido, é imprescindível a oposição de embargos declaratórios, com vistas ao prequestionamento.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2026-06-17T14:20:43.300Z</dcterms:created>
  <dcterms:modified xsi:type="dcterms:W3CDTF">2026-06-17T14:20:43.300Z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