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Apelação Cível 16.411/2001</w:t>
      </w:r>
    </w:p>
    <w:p>
      <w:r>
        <w:rPr>
          <w:b/>
          <w:bCs/>
        </w:rPr>
        <w:t xml:space="preserve">Relator: </w:t>
      </w:r>
      <w:r>
        <w:t xml:space="preserve">Laerson Mauro</w:t>
      </w:r>
    </w:p>
    <w:p/>
    <w:p>
      <w:r>
        <w:t xml:space="preserve">38. CONCESSÃO DE SERVIÇO PÚBLICO — PRIVATIZAÇÃO - PERMISSÃO DE USO - TRANSFORMAÇÃO EM 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38 CONCESSÃO DE SERVIÇO PÚBLICO - PRIVATIZAÇÃO - PERMISSÃO DE USO -TRANSFORMAÇÃO EM LOCAÇÃO "A privatização do serviço de transporte, ferroviário acarretou o efeito imediato de extinguir o ato administrativo negocial de permissão de engendrar, em face de subsistência da situação de ocupação mediante remuneração periódica, relação jurídica nova, de natureza locatícia, sujeita ao direito privado, em especial à legislação própria." REFERÊNCIA: Uniformização de Jurisprudência nº 03/2001, na Apelação Cível nº 16.411/2001 - Julgamento 11/03/2002 - Votação por Maioria - Relator: Des. Laerson Mauro - Registro do acórdão 19/06/2002 - Fls. 3903/3915.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2026-09-10T22:11:50.764Z</dcterms:created>
  <dcterms:modified xsi:type="dcterms:W3CDTF">2026-09-10T22:11:50.764Z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