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Apelação Cível 16.411/2001</w:t>
      </w:r>
    </w:p>
    <w:p>
      <w:r>
        <w:rPr>
          <w:b/>
          <w:bCs/>
        </w:rPr>
        <w:t xml:space="preserve">Relator: </w:t>
      </w:r>
      <w:r>
        <w:t xml:space="preserve">Laerson Mauro</w:t>
      </w:r>
    </w:p>
    <w:p/>
    <w:p>
      <w:r>
        <w:t xml:space="preserve">38. CONCESSÃO DE SERVIÇO PÚBLICO — PRIVATIZAÇÃO - PERMISSÃO DE USO - TRANSFORMAÇÃO EM 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38 CONCESSÃO DE SERVIÇO PÚBLICO - PRIVATIZAÇÃO - PERMISSÃO DE USO -TRANSFORMAÇÃO EM LOCAÇÃO "A privatização do serviço de transporte, ferroviário acarretou o efeito imediato de extinguir o ato administrativo negocial de permissão de engendrar, em face de subsistência da situação de ocupação mediante remuneração periódica, relação jurídica nova, de natureza locatícia, sujeita ao direito privado, em especial à legislação própria." REFERÊNCIA: Uniformização de Jurisprudência nº 03/2001, na Apelação Cível nº 16.411/2001 - Julgamento 11/03/2002 - Votação por Maioria - Relator: Des. Laerson Mauro - Registro do acórdão 19/06/2002 - Fls. 3903/3915.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2026-10-26T03:22:46.758Z</dcterms:created>
  <dcterms:modified xsi:type="dcterms:W3CDTF">2026-10-26T03:22:46.758Z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