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SUSPENSÃO DE INSTÂNCIA</w:t>
      </w:r>
    </w:p>
    <w:p>
      <w:r>
        <w:rPr>
          <w:i/>
          <w:iCs/>
          <w:color w:val="666666"/>
        </w:rPr>
        <w:t xml:space="preserve">REQUISIÇÃO EX OFFICIO DE DOCUMENTO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recurso, para anular a sentença e determinar o seguimento da instrução processual.
Ac. de 11-10-2000
Arquivo do EMFOR, TJSC/N 4960
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utilização da TR como indexador, em operação de mútuo bancário, notadamente quando contratada, é juridicamente possível, conforme tem decidido esta casa, de forma iterativa, com apoio, inclusive, em decisão do STF, que não declarou a inconstitucionalidade do art. 26 da Lei 8.177/91. - Discorrendo sobre o tema o ilustre Des. Nilton Macedo Machado assim se manifestou: "Crédito bancário - TR como fator de atualização monetária - Índice expressamente pactuado - Admissibilidade - Princípio do "pacta sunt servanda" - Precedentes. É admissível a utilização da TR como índice de atualização monetária, mormente quando as partes expressamente convencionaram." (Ap. Cív. Nº 96.009682-5, de Turvo, Des. Nilton Macedo Machado). Ac. de 09-11-2000 Arquivo do EMFOR, TJSC/N 4961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utilização da TR como indexador, em operação de mútuo bancário, notadamente quando contratada, é juridicamente possível, conforme tem decidido esta Corte de Justiça, de forma iterativa, com apoio, inclusive, em decisão do STF, que não declarou a inconstitucionalidade do art. 26 da Lei 8.177/91.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2026-07-28T00:19:11.438Z</dcterms:created>
  <dcterms:modified xsi:type="dcterms:W3CDTF">2026-07-28T00:19:11.438Z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