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CAUTELAR DE BUSCA E APREENSÃO</w:t>
      </w:r>
    </w:p>
    <w:p/>
    <w:p/>
    <w:p>
      <w:r>
        <w:t xml:space="preserve">SE É POSSÍVEL A FEITA DE FORMA CONCISA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minuta sustenta, em resumo, que: a) a decisão atacada não está devidamente fundamentada, violando o disposto no art. 93, IX, da CF e o art. 165 do CPC; b) não há urgência no caso, tendo em vista que, "conforme o próprio relatório médico apresentado, pode-se observar que a criança tem diagnosticado seu quadro de atraso no desenvolvimento neuro-psico-motor desde os seus 2 anos de idade"; c) entre as condições gerais de apólice, ficaram sem cobertura "psicologia e terapia ocupacional" (f.). - A sua fundamentação, todavia, não se mostra relevante. - De início, anoto que a decisão agravada está com suficiente fundamentação, porque, como se sabe, tratando-se de interlocutória pode ser concisa, como ocorreu no caso (CPC, art. 165, última parte). - Assim, não houve qualquer violação à Constituição Federal (art. 93, IX), nem ao Código de Processo Civil (art. 165). - No mais, o agravado declarou, na petição inicial, que, "se não for submetido com urgência ao tratamento indicado pelo médico, terá a sua integridade física comprometida, mormente por tratar-se de caso neurológico grave" (f.), e, ainda, que o contrato celebrado é de adesão, contendo cláusulas abusivas. - Assim, de um lado, em face da natureza do contrato de seguro-saúde e, principalmente, de sua finalidade, a decisão hostilizada mostra-se acertada. - A alegação de que existe cláusula que não dá cobertura a "psicologia e terapia ocupacional", data venia, não se pode examinar em sede de liminar ou antecipação da tutela, porque essa disposição contratual, ao menos em princípio, se revela restritiva e se põe em confronto com a necessária proteção que se deve dar ao consumidor , consoante v. acórdão de que foi relator o eminente Des. Silveira Netto, bem lembrado pela eminente Procuradora de Justiça, Dra. Maria Alice Ferreira da Rosa. - É, ainda, dessa representante do Ministério Público a anotação de que: "Inegável necessitar o autor, ora agravado, dos tratamentos prescritos, com certa urgência, para se evitar o agravamento de sua trágica situação, pelo que se entende que a concessão da tutela antecipadamente deveu-se a esta emergência no tratamento, para garantir que o mesmo se iniciasse de imediato, possibilitando melhores chances à criança" (f.). - Nessa conformidade, mantida decisão, nego provimento ao recurso. Ac. de 25-06-2002 Arquivo do EMFOR, TJSP/N 5028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nos casos de interlocutória que sua decisão seja concisa, porém fundamentada, conforme preceitua o art. 165, última parte, do CPC. Conseqüentemente, não há violação da norma processual tampouco do art. 93, IX, da CF.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2026-07-28T00:30:47.496Z</dcterms:created>
  <dcterms:modified xsi:type="dcterms:W3CDTF">2026-07-28T00:30:47.496Z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