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REsp 46.748-</w:t>
      </w:r>
    </w:p>
    <w:p/>
    <w:p>
      <w:r>
        <w:t xml:space="preserve">EXTINÇÃO DO MANDATO — LEGISLAÇÃO APLICÁVEL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prefeito municipal, após a extinção do mandato, continua sujeito a processo por crime previsto no art. 1º do Dec.-lei nº 201, de 27/02/67. Referência Decreto-lei nº 201, de 27/02/67, art. 1º REsp 46.748-MG (5ªT 24/08/94 - DJ 12/09/94) REsp 54.827-RS (5ªT 14/12/94 - DJ 13/02/95) HC 3.112-MG (5ªT 14/12/94 - DJ 20/02/95) HC 3.261-CE (5ªT 17/04/95 - DJ 12/06/95) HC 969-RS (6ªT 30/03/92 - DJ 13/04/92) REsp 52.803-RS (6ªT 31/10/94 - DJ 26/11/94) REsp 38.469-SC (6ªT 09/05/95 - DJ 05/06/95) HC 3.404-PA (6ªT 30/05/95 - DJ 11/09/95) REsp 57.736-MG (6ªT 22/05/95 - DJ 23/10/95) DJ 23.8.96, Pág. 29382 Arquivo do Ementário Forense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2026-10-26T02:14:32.794Z</dcterms:created>
  <dcterms:modified xsi:type="dcterms:W3CDTF">2026-10-26T02:14:32.794Z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