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02. DECRETO 4.543 DE 26-12-2002 — ALTERA - ATIVIDADES ADUANEIRAS - ADMINISTRAÇÃO E A FISCALIZAÇÃO - OPERAÇÕES DE COMÉRCIO EXTERIOR - TRIBUTAÇÃO E CONTROLE - REGULAMENTA</w:t>
      </w:r>
    </w:p>
    <w:p/>
    <w:p>
      <w:pPr>
        <w:pStyle w:val="Heading2"/>
      </w:pPr>
      <w:r>
        <w:rPr>
          <w:b/>
          <w:bCs/>
        </w:rPr>
        <w:t xml:space="preserve">Ementa</w:t>
      </w:r>
    </w:p>
    <w:p>
      <w:r>
        <w:t xml:space="preserve">"Art. 535. Aplicam-se ao despacho de exportação, no que couber, as normas estabelecidas para o despacho de importação (Decreto-lei nº 1.578, de 1977, art. 8º)." (NR) "Art. 545. Após a apreensão de que trata o art. 544, a autoridade aduaneira notificará o titular dos direitos da marca para que, no prazo de dez dias úteis da ciência, promova, se for o caso, a correspondente queixa, e solicite a apreensão judicial das mercadorias (Lei nº 9.279, de 1996, art. 199, e Acordo sobre Aspectos dos Direitos de Propriedade Intelectual Relacionados ao Comércio, Artigo 55, aprovado pelo Decreto Legislativo nº 30, de 1994, e promulgado pelo Decreto nº 1.355, de 1994). § 1º O titular dos direitos da marca poderá, em casos justificados, solicitar seja prorrogado o prazo estabelecido no caput uma única vez, por igual período (Acordo sobre Aspectos dos Direitos de Propriedade Intelectual Relacionados ao Comércio, Artigo 55, aprovado pelo Decreto Legislativo nº 30, de 1994, e promulgado pelo Decreto nº 1.355, de 1994). ................................................" (NR) "Art. 546. Se a autoridade aduaneira não tiver sido informada, no prazo a que se refere o art. 545, de que foram tomadas pelo titular da marca as medidas cabíveis para apreensão judicial das mercadorias, o despacho aduaneiro destas poderá ter prosseguimento, desde que cumpridas as demais condições para a importação ou exportação (Acordo sobre Aspectos dos Direitos de Propriedade Intelectual Relacionados ao Comércio, Artigo 55, aprovado pelo Decreto Legislativo nº 30, de 1994, e promulgado pelo Decreto nº 1.355, de 1994)." (NR) "Art. 547. O titular da marca, tendo elementos suficientes para suspeitar que a importação ou a exportação de mercadorias com marca contrafeita venha a ocorrer, poderá requerer sua apreensão à autoridade aduaneira, apresentando os elementos que apontem para a suspeita (Acordo sobre Aspectos dos Direitos de Propriedade Intelectual Relacionados ao Comércio, Artigo s 51 e 52, aprovado pelo Decreto Legislativo nº 30, de 1994, e promulgado pelo Decreto nº 1.355, de 1994). Parágrafo único. A autoridade aduaneira poderá exigir que o requerente apresente garantia, em valor suficiente para proteger o requerido e evitar abuso (Acordo sobre Aspectos dos Direitos de Propriedade Intelectual Relacionados ao Comércio, Artigo 53, parágrafo 1, aprovado pelo Decreto Legislativo nº 30, de 1994, e promulgado pelo Decreto nº 1.355, de 1994)." (NR) "Art. 548. Os fonogramas, os livros e as obras audiovisuais, importados ou a exportar, deverão conter selos ou sinais de identificação, emitidos e fornecidos na forma da legislação específica, para atestar o cumprimento das normas legais referentes ao direito autoral (Lei nº 9.610, de 19 de fevereiro de 1998, art. 113)." (NR) "Art. 549. Aplica-se, no que couber, às importações ou às exportações de mercadorias onde haja indício de violação ao direito autoral, o disposto nos arts. 545 a 547 (Acordo sobre Aspectos dos Direitos de Propriedade Intelectual Relacionados ao Comércio, Artigos 51, 52, 53, parágrafo 1, e 55, aprovado pelo Decreto Legislativo nº 30, de 1994, e promulgado pelo Decreto nº 1.355, de 1994)." (NR) "Art. 551. Dependerá de prévia autorização do Ministério da Ciência e Tecnologia a exportação de bem constante das listas de bens sensíveis (Lei nº 9.112, de 10 de outubro de 1995, art. 3º, inciso I; Lei nº 9.649, de 1998, art. 14, inciso II, alínea "g", com a redação dada pela Medida Provisória nº 2.216-37, de 31 de agosto de 2001, art. 1º; e Lei nº 10.683, de 2003, art. 27, inciso IV, alínea "g"). § 1º Consideram-se bens sensíveis os bens de uso duplo e os bens de uso na área nuclear, química e biológica (Lei nº 9.112, de 1995, art. 1º, § 1º, com a redação dada pela Medida Provisória nº 2.216-37, de 2001, art. 15). ................................................" (NR) "Art. 592. ......................................... ...................................... .................... Parágrafo único. ........................... .......................................................... II - no acréscimo, a multa referida na alínea "a" do inciso III do art. 646." (NR) "Art. 603. ........................................ ......................................................... Parágrafo único. A operação de comércio exterior realizada mediante utilização de recursos de terceiro presume-se por conta e ordem deste, para fins de aplicação do disposto no inciso V (Lei nº 10.637, de 2002, art. 27)." (NR) "Art. 604. As inf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2026-07-28T01:35:21.300Z</dcterms:created>
  <dcterms:modified xsi:type="dcterms:W3CDTF">2026-07-28T01:35:21.300Z</dcterms:modified>
</cp:coreProperties>
</file>

<file path=docProps/custom.xml><?xml version="1.0" encoding="utf-8"?>
<Properties xmlns="http://schemas.openxmlformats.org/officeDocument/2006/custom-properties" xmlns:vt="http://schemas.openxmlformats.org/officeDocument/2006/docPropsVTypes"/>
</file>