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/>
    <w:p>
      <w:r>
        <w:t xml:space="preserve">ELEIÇÃO DE FORO — PREVALÊNCIA DE AJUIZAMENTO ANTERIOR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evidente a conexão de questões e, assim, de causas, a desafiar certamente, o julgamento conjunto de todas as demandas. - E qual o juízo competente para aquela cognição e desate jurisdicional? - Não será o da comarca da Capital, certamente, pois, não obstante a eleição do foro convencionado a respeito pelas partes, tem-se que o ajuizamento das cautelares e da ação principal, em momento anterior ao aforamento da reintegratória, determinou a prevenção do juízo da comarca de Belo Horizonte na medida em que, posta a exceptio pela agravante, foi a mesma desacolhida, sobrevindo, conforme documento não contraditado na sua legitimidade, o trânsito em julgado daquela decisão... - Assim, se ficou estabelecida a competência do juízo declinado para conhecer e julgar a ação ordinária, por certo que a reintegratória, que mantém inequívoca relação de conexidade com aquela demanda, deve ser, necessariamente, apreciada, em simultaneus processus, pelo mesmo e prevendo juízo. Ac. de 19-09-1990 Rev. dos Tribunais - Out. de 1991 - Vol. 672 - Pág. 134.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obstante a eleição de foro pelas partes do contrato, o ajuizamento anterior de demanda relativa ao mesmo contrato em foro diverso determina a prevenção deste juízo para a apreciação, em simultaneus processus, da ação conexa proposta posteriormente.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2026-10-26T03:22:31.132Z</dcterms:created>
  <dcterms:modified xsi:type="dcterms:W3CDTF">2026-10-26T03:22:31.132Z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