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Relator: </w:t>
      </w:r>
      <w:r>
        <w:t xml:space="preserve">MIGUEL PACHÁ</w:t>
      </w:r>
    </w:p>
    <w:p/>
    <w:p>
      <w:r>
        <w:t xml:space="preserve">43. GRATUIDADE DE JUSTIÇA — REVOGAÇÃO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43 GRATUIDADE DE JUSTIÇA - REVOGAÇÃO "Cabe a revogação, de ofício e a qualquer tempo, do benefício da gratuidade de justiça, desde que fundamentada." REFERÊNCIA: Uniformização de Jurisprudência nº 06/2001, julgamento em 24/06/2002, votação unânime, Relator Des. MIGUEL PACHÁ, Registro do Acórdão em 13/09/2002; Const. Fed. 1988, art. 5º, LXXIV; Lei Fed. 1.060/50; Reg. Int. TJRJ, art. 122. Obs.: Neste sentido, genericamente, preceitua o art. 8º da Lei nº 1.060/50.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2026-07-28T04:23:24.703Z</dcterms:created>
  <dcterms:modified xsi:type="dcterms:W3CDTF">2026-07-28T04:23:24.703Z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